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DB92F" w14:textId="61E38AC4" w:rsidR="00D246A9" w:rsidRDefault="00D246A9">
      <w:pPr>
        <w:pStyle w:val="NormalWeb"/>
        <w:spacing w:before="135" w:beforeAutospacing="0" w:after="0" w:afterAutospacing="0"/>
        <w:rPr>
          <w:sz w:val="2"/>
          <w:szCs w:val="2"/>
        </w:rPr>
      </w:pPr>
      <w:r>
        <w:rPr>
          <w:sz w:val="2"/>
          <w:szCs w:val="2"/>
        </w:rPr>
        <w:t> </w:t>
      </w:r>
    </w:p>
    <w:p w14:paraId="5645F75F" w14:textId="77777777" w:rsidR="00D246A9" w:rsidRDefault="00D246A9">
      <w:pPr>
        <w:pStyle w:val="NormalWeb"/>
        <w:keepNext/>
        <w:spacing w:before="0" w:beforeAutospacing="0" w:after="0" w:afterAutospacing="0"/>
        <w:rPr>
          <w:sz w:val="18"/>
          <w:szCs w:val="18"/>
        </w:rPr>
      </w:pPr>
      <w:r>
        <w:rPr>
          <w:sz w:val="18"/>
          <w:szCs w:val="18"/>
        </w:rPr>
        <w:t> </w:t>
      </w:r>
    </w:p>
    <w:p w14:paraId="5DEB16B7" w14:textId="3829C388" w:rsidR="00B4165A" w:rsidRDefault="00D246A9" w:rsidP="00B4165A">
      <w:pPr>
        <w:pStyle w:val="NormalWeb"/>
        <w:spacing w:before="0" w:beforeAutospacing="0" w:after="0" w:afterAutospacing="0"/>
        <w:jc w:val="center"/>
        <w:rPr>
          <w:rFonts w:ascii="Arial" w:hAnsi="Arial" w:cs="Arial"/>
          <w:sz w:val="38"/>
          <w:szCs w:val="38"/>
        </w:rPr>
      </w:pPr>
      <w:r>
        <w:rPr>
          <w:rFonts w:ascii="Arial" w:hAnsi="Arial" w:cs="Arial"/>
          <w:color w:val="545454"/>
          <w:sz w:val="38"/>
          <w:szCs w:val="38"/>
        </w:rPr>
        <w:t xml:space="preserve">Notice of Annual Shareholders Meeting and </w:t>
      </w:r>
    </w:p>
    <w:p w14:paraId="26C9F802" w14:textId="5DE96596" w:rsidR="00D246A9" w:rsidRPr="00B4165A" w:rsidRDefault="00D246A9" w:rsidP="00B4165A">
      <w:pPr>
        <w:pStyle w:val="Heading1"/>
      </w:pPr>
      <w:r w:rsidRPr="00B4165A">
        <w:t xml:space="preserve">Proxy Statement 2023 </w:t>
      </w:r>
    </w:p>
    <w:p w14:paraId="2D3C1FB2" w14:textId="77777777" w:rsidR="00D246A9" w:rsidRDefault="00D246A9">
      <w:pPr>
        <w:pStyle w:val="NormalWeb"/>
        <w:keepNext/>
        <w:spacing w:before="0" w:beforeAutospacing="0" w:after="0" w:afterAutospacing="0"/>
        <w:rPr>
          <w:sz w:val="36"/>
          <w:szCs w:val="36"/>
        </w:rPr>
      </w:pPr>
      <w:r>
        <w:rPr>
          <w:sz w:val="36"/>
          <w:szCs w:val="36"/>
        </w:rPr>
        <w:t> </w:t>
      </w:r>
    </w:p>
    <w:tbl>
      <w:tblPr>
        <w:tblW w:w="5000" w:type="pct"/>
        <w:jc w:val="center"/>
        <w:tblLayout w:type="fixed"/>
        <w:tblCellMar>
          <w:left w:w="0" w:type="dxa"/>
          <w:right w:w="0" w:type="dxa"/>
        </w:tblCellMar>
        <w:tblLook w:val="0400" w:firstRow="0" w:lastRow="0" w:firstColumn="0" w:lastColumn="0" w:noHBand="0" w:noVBand="1"/>
      </w:tblPr>
      <w:tblGrid>
        <w:gridCol w:w="5587"/>
        <w:gridCol w:w="5213"/>
      </w:tblGrid>
      <w:tr w:rsidR="00306F7C" w14:paraId="472896A6" w14:textId="77777777" w:rsidTr="007B0937">
        <w:trPr>
          <w:jc w:val="center"/>
        </w:trPr>
        <w:tc>
          <w:tcPr>
            <w:tcW w:w="5587" w:type="dxa"/>
            <w:tcBorders>
              <w:top w:val="single" w:sz="12" w:space="0" w:color="auto"/>
            </w:tcBorders>
            <w:hideMark/>
          </w:tcPr>
          <w:p w14:paraId="0480660A" w14:textId="77777777" w:rsidR="00306F7C" w:rsidRDefault="00306F7C" w:rsidP="00F81E28">
            <w:pPr>
              <w:spacing w:before="80"/>
              <w:rPr>
                <w:rFonts w:ascii="Arial" w:hAnsi="Arial" w:cs="Arial"/>
                <w:sz w:val="21"/>
                <w:szCs w:val="21"/>
              </w:rPr>
            </w:pPr>
            <w:r>
              <w:rPr>
                <w:rFonts w:ascii="Arial" w:hAnsi="Arial" w:cs="Arial"/>
                <w:b/>
                <w:bCs/>
                <w:color w:val="4C4C4C"/>
                <w:sz w:val="21"/>
                <w:szCs w:val="21"/>
              </w:rPr>
              <w:t>December 7, 2023</w:t>
            </w:r>
          </w:p>
        </w:tc>
        <w:tc>
          <w:tcPr>
            <w:tcW w:w="5213" w:type="dxa"/>
            <w:tcBorders>
              <w:top w:val="single" w:sz="12" w:space="0" w:color="auto"/>
            </w:tcBorders>
            <w:hideMark/>
          </w:tcPr>
          <w:p w14:paraId="4CD74FA5" w14:textId="77777777" w:rsidR="00306F7C" w:rsidRPr="00306F7C" w:rsidRDefault="00306F7C" w:rsidP="00F81E28">
            <w:pPr>
              <w:pStyle w:val="NormalWeb"/>
              <w:keepNext/>
              <w:spacing w:before="80" w:beforeAutospacing="0" w:after="0" w:afterAutospacing="0"/>
              <w:rPr>
                <w:rFonts w:ascii="Arial" w:hAnsi="Arial" w:cs="Arial"/>
                <w:sz w:val="21"/>
                <w:szCs w:val="21"/>
              </w:rPr>
            </w:pPr>
            <w:r>
              <w:rPr>
                <w:rFonts w:ascii="Arial" w:hAnsi="Arial" w:cs="Arial"/>
                <w:b/>
                <w:bCs/>
                <w:color w:val="4C4C4C"/>
                <w:sz w:val="21"/>
                <w:szCs w:val="21"/>
              </w:rPr>
              <w:t>Virtual Meeting Site:</w:t>
            </w:r>
          </w:p>
        </w:tc>
      </w:tr>
      <w:tr w:rsidR="00306F7C" w14:paraId="63BEDEEF" w14:textId="77777777" w:rsidTr="00F81E28">
        <w:trPr>
          <w:jc w:val="center"/>
        </w:trPr>
        <w:tc>
          <w:tcPr>
            <w:tcW w:w="5587" w:type="dxa"/>
            <w:hideMark/>
          </w:tcPr>
          <w:p w14:paraId="4EA8D003" w14:textId="77777777" w:rsidR="00306F7C" w:rsidRDefault="00306F7C">
            <w:pPr>
              <w:rPr>
                <w:rFonts w:ascii="Arial" w:hAnsi="Arial" w:cs="Arial"/>
                <w:sz w:val="21"/>
                <w:szCs w:val="21"/>
              </w:rPr>
            </w:pPr>
            <w:r>
              <w:rPr>
                <w:rFonts w:ascii="Arial" w:hAnsi="Arial" w:cs="Arial"/>
                <w:b/>
                <w:bCs/>
                <w:color w:val="4C4C4C"/>
                <w:sz w:val="21"/>
                <w:szCs w:val="21"/>
              </w:rPr>
              <w:t>8:30 a.m. Pacific Time                                       </w:t>
            </w:r>
          </w:p>
        </w:tc>
        <w:tc>
          <w:tcPr>
            <w:tcW w:w="5213" w:type="dxa"/>
            <w:hideMark/>
          </w:tcPr>
          <w:p w14:paraId="3D40E9D1" w14:textId="77777777" w:rsidR="00306F7C" w:rsidRDefault="00306F7C">
            <w:pPr>
              <w:rPr>
                <w:rFonts w:ascii="Arial" w:hAnsi="Arial" w:cs="Arial"/>
                <w:sz w:val="21"/>
                <w:szCs w:val="21"/>
              </w:rPr>
            </w:pPr>
            <w:r>
              <w:rPr>
                <w:rFonts w:ascii="Arial" w:hAnsi="Arial" w:cs="Arial"/>
                <w:color w:val="4C4C4C"/>
                <w:sz w:val="21"/>
                <w:szCs w:val="21"/>
                <w:u w:val="single"/>
              </w:rPr>
              <w:t>virtualshareholdermeeting.com/MSFT23</w:t>
            </w:r>
            <w:r>
              <w:rPr>
                <w:rFonts w:ascii="Arial" w:hAnsi="Arial" w:cs="Arial"/>
                <w:color w:val="4C4C4C"/>
                <w:sz w:val="21"/>
                <w:szCs w:val="21"/>
              </w:rPr>
              <w:t> </w:t>
            </w:r>
            <w:r>
              <w:rPr>
                <w:rFonts w:ascii="Arial" w:hAnsi="Arial" w:cs="Arial"/>
                <w:color w:val="4C4C4C"/>
                <w:sz w:val="21"/>
                <w:szCs w:val="21"/>
              </w:rPr>
              <w:t> </w:t>
            </w:r>
            <w:r>
              <w:rPr>
                <w:rFonts w:ascii="Arial" w:hAnsi="Arial" w:cs="Arial"/>
                <w:color w:val="4C4C4C"/>
                <w:sz w:val="21"/>
                <w:szCs w:val="21"/>
              </w:rPr>
              <w:t> </w:t>
            </w:r>
            <w:r>
              <w:rPr>
                <w:rFonts w:ascii="Arial" w:hAnsi="Arial" w:cs="Arial"/>
                <w:color w:val="4C4C4C"/>
                <w:sz w:val="21"/>
                <w:szCs w:val="21"/>
              </w:rPr>
              <w:t> </w:t>
            </w:r>
            <w:r>
              <w:rPr>
                <w:rFonts w:ascii="Arial" w:hAnsi="Arial" w:cs="Arial"/>
                <w:color w:val="4C4C4C"/>
                <w:sz w:val="21"/>
                <w:szCs w:val="21"/>
              </w:rPr>
              <w:t> </w:t>
            </w:r>
            <w:r>
              <w:rPr>
                <w:rFonts w:ascii="Arial" w:hAnsi="Arial" w:cs="Arial"/>
                <w:color w:val="4C4C4C"/>
                <w:sz w:val="21"/>
                <w:szCs w:val="21"/>
              </w:rPr>
              <w:t> </w:t>
            </w:r>
            <w:r>
              <w:rPr>
                <w:rFonts w:ascii="Arial" w:hAnsi="Arial" w:cs="Arial"/>
                <w:color w:val="4C4C4C"/>
                <w:sz w:val="21"/>
                <w:szCs w:val="21"/>
              </w:rPr>
              <w:t> </w:t>
            </w:r>
            <w:r>
              <w:rPr>
                <w:rFonts w:ascii="Arial" w:hAnsi="Arial" w:cs="Arial"/>
                <w:color w:val="4C4C4C"/>
                <w:sz w:val="21"/>
                <w:szCs w:val="21"/>
              </w:rPr>
              <w:t> </w:t>
            </w:r>
            <w:r>
              <w:rPr>
                <w:rFonts w:ascii="Arial" w:hAnsi="Arial" w:cs="Arial"/>
                <w:color w:val="4C4C4C"/>
                <w:sz w:val="21"/>
                <w:szCs w:val="21"/>
              </w:rPr>
              <w:t> </w:t>
            </w:r>
          </w:p>
        </w:tc>
      </w:tr>
    </w:tbl>
    <w:p w14:paraId="2C7B5F33" w14:textId="502990D7" w:rsidR="00D246A9" w:rsidRPr="00306F7C" w:rsidRDefault="00D246A9">
      <w:pPr>
        <w:pStyle w:val="NormalWeb"/>
        <w:keepNext/>
        <w:spacing w:before="0" w:beforeAutospacing="0" w:after="0" w:afterAutospacing="0"/>
        <w:rPr>
          <w:sz w:val="72"/>
          <w:szCs w:val="72"/>
        </w:rPr>
      </w:pPr>
      <w:r>
        <w:rPr>
          <w:sz w:val="72"/>
          <w:szCs w:val="72"/>
        </w:rPr>
        <w:t> </w:t>
      </w:r>
    </w:p>
    <w:p w14:paraId="14000258" w14:textId="095C99CA" w:rsidR="00D246A9" w:rsidRDefault="00D246A9">
      <w:pPr>
        <w:pStyle w:val="NormalWeb"/>
        <w:keepNext/>
        <w:spacing w:before="0" w:beforeAutospacing="0" w:after="0" w:afterAutospacing="0"/>
        <w:rPr>
          <w:sz w:val="2"/>
          <w:szCs w:val="2"/>
        </w:rPr>
      </w:pPr>
      <w:r>
        <w:rPr>
          <w:sz w:val="2"/>
          <w:szCs w:val="2"/>
        </w:rPr>
        <w:t> </w:t>
      </w:r>
    </w:p>
    <w:p w14:paraId="5F66A323" w14:textId="65A66923" w:rsidR="00D246A9" w:rsidRDefault="00F81E28">
      <w:pPr>
        <w:pStyle w:val="NormalWeb"/>
        <w:spacing w:before="0" w:beforeAutospacing="0" w:after="0" w:afterAutospacing="0"/>
        <w:jc w:val="center"/>
      </w:pPr>
      <w:r>
        <w:rPr>
          <w:noProof/>
        </w:rPr>
        <w:drawing>
          <wp:inline distT="0" distB="0" distL="0" distR="0" wp14:anchorId="50CB295D" wp14:editId="3C7D9D2A">
            <wp:extent cx="6892807" cy="4591050"/>
            <wp:effectExtent l="0" t="0" r="3810" b="0"/>
            <wp:docPr id="15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8865" cy="4595085"/>
                    </a:xfrm>
                    <a:prstGeom prst="rect">
                      <a:avLst/>
                    </a:prstGeom>
                    <a:noFill/>
                    <a:ln>
                      <a:noFill/>
                    </a:ln>
                  </pic:spPr>
                </pic:pic>
              </a:graphicData>
            </a:graphic>
          </wp:inline>
        </w:drawing>
      </w:r>
    </w:p>
    <w:p w14:paraId="7F8D6641" w14:textId="77777777" w:rsidR="00D246A9" w:rsidRDefault="00D246A9">
      <w:pPr>
        <w:pStyle w:val="NormalWeb"/>
        <w:keepNext/>
        <w:spacing w:before="0" w:beforeAutospacing="0" w:after="0" w:afterAutospacing="0"/>
        <w:rPr>
          <w:sz w:val="68"/>
          <w:szCs w:val="68"/>
        </w:rPr>
      </w:pPr>
      <w:r>
        <w:rPr>
          <w:sz w:val="68"/>
          <w:szCs w:val="68"/>
        </w:rPr>
        <w:t> </w:t>
      </w:r>
    </w:p>
    <w:p w14:paraId="1AF59C4F" w14:textId="7B15274A" w:rsidR="00D246A9" w:rsidRPr="00306F7C" w:rsidRDefault="000E33B3" w:rsidP="000E33B3">
      <w:pPr>
        <w:pStyle w:val="NormalWeb"/>
        <w:spacing w:before="180" w:beforeAutospacing="0" w:after="0" w:afterAutospacing="0"/>
        <w:jc w:val="right"/>
        <w:rPr>
          <w:sz w:val="2"/>
          <w:szCs w:val="2"/>
        </w:rPr>
      </w:pPr>
      <w:r>
        <w:rPr>
          <w:noProof/>
        </w:rPr>
        <w:drawing>
          <wp:inline distT="0" distB="0" distL="0" distR="0" wp14:anchorId="75912935" wp14:editId="01647475">
            <wp:extent cx="969264" cy="203551"/>
            <wp:effectExtent l="0" t="0" r="2540" b="6350"/>
            <wp:docPr id="170093655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36555" name="Picture 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969264" cy="203551"/>
                    </a:xfrm>
                    <a:prstGeom prst="rect">
                      <a:avLst/>
                    </a:prstGeom>
                  </pic:spPr>
                </pic:pic>
              </a:graphicData>
            </a:graphic>
          </wp:inline>
        </w:drawing>
      </w:r>
      <w:r w:rsidR="00D246A9">
        <w:br w:type="page"/>
      </w:r>
      <w:r w:rsidR="00D246A9">
        <w:rPr>
          <w:sz w:val="2"/>
          <w:szCs w:val="2"/>
        </w:rPr>
        <w:lastRenderedPageBreak/>
        <w:t> </w:t>
      </w:r>
    </w:p>
    <w:p w14:paraId="5B7A53C5"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400" w:firstRow="0" w:lastRow="0" w:firstColumn="0" w:lastColumn="0" w:noHBand="0" w:noVBand="1"/>
      </w:tblPr>
      <w:tblGrid>
        <w:gridCol w:w="4212"/>
        <w:gridCol w:w="6588"/>
      </w:tblGrid>
      <w:tr w:rsidR="00D246A9" w14:paraId="73BA3292" w14:textId="77777777" w:rsidTr="000E33B3">
        <w:trPr>
          <w:jc w:val="center"/>
        </w:trPr>
        <w:tc>
          <w:tcPr>
            <w:tcW w:w="4212" w:type="dxa"/>
            <w:vAlign w:val="center"/>
            <w:hideMark/>
          </w:tcPr>
          <w:p w14:paraId="7EEC9AEF" w14:textId="77777777" w:rsidR="00D246A9" w:rsidRDefault="00D246A9"/>
        </w:tc>
        <w:tc>
          <w:tcPr>
            <w:tcW w:w="6588" w:type="dxa"/>
            <w:vAlign w:val="center"/>
            <w:hideMark/>
          </w:tcPr>
          <w:p w14:paraId="5600B204" w14:textId="77777777" w:rsidR="00D246A9" w:rsidRDefault="00D246A9">
            <w:pPr>
              <w:rPr>
                <w:sz w:val="20"/>
              </w:rPr>
            </w:pPr>
          </w:p>
        </w:tc>
      </w:tr>
      <w:tr w:rsidR="00D246A9" w14:paraId="304C5925" w14:textId="77777777" w:rsidTr="000E33B3">
        <w:trPr>
          <w:cantSplit/>
          <w:jc w:val="center"/>
        </w:trPr>
        <w:tc>
          <w:tcPr>
            <w:tcW w:w="4212" w:type="dxa"/>
            <w:tcBorders>
              <w:top w:val="single" w:sz="12" w:space="0" w:color="0075C9"/>
              <w:left w:val="single" w:sz="12" w:space="0" w:color="0075C9"/>
              <w:bottom w:val="single" w:sz="12" w:space="0" w:color="0075C9"/>
            </w:tcBorders>
            <w:tcMar>
              <w:top w:w="0" w:type="dxa"/>
              <w:left w:w="160" w:type="dxa"/>
              <w:bottom w:w="0" w:type="dxa"/>
              <w:right w:w="0" w:type="dxa"/>
            </w:tcMar>
            <w:vAlign w:val="bottom"/>
            <w:hideMark/>
          </w:tcPr>
          <w:p w14:paraId="42A864DC" w14:textId="7CCFCEA3" w:rsidR="00D246A9" w:rsidRDefault="000E33B3">
            <w:pPr>
              <w:pStyle w:val="NormalWeb"/>
              <w:spacing w:before="0" w:beforeAutospacing="0" w:after="20" w:afterAutospacing="0"/>
              <w:ind w:left="-134"/>
              <w:rPr>
                <w:rFonts w:ascii="Arial" w:hAnsi="Arial" w:cs="Arial"/>
                <w:sz w:val="28"/>
                <w:szCs w:val="28"/>
              </w:rPr>
            </w:pPr>
            <w:r>
              <w:rPr>
                <w:rFonts w:ascii="Arial" w:hAnsi="Arial" w:cs="Arial"/>
                <w:noProof/>
                <w:sz w:val="28"/>
                <w:szCs w:val="28"/>
              </w:rPr>
              <w:drawing>
                <wp:inline distT="0" distB="0" distL="0" distR="0" wp14:anchorId="4B375121" wp14:editId="111DFB21">
                  <wp:extent cx="2414790" cy="2049205"/>
                  <wp:effectExtent l="0" t="0" r="5080" b="8255"/>
                  <wp:docPr id="1611436604" name="Picture 5" descr="A picture of Satya Nadella, smil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36604" name="Picture 5" descr="A picture of Satya Nadella, smiling">
                            <a:extLst>
                              <a:ext uri="{C183D7F6-B498-43B3-948B-1728B52AA6E4}">
                                <adec:decorative xmlns:adec="http://schemas.microsoft.com/office/drawing/2017/decorative" val="0"/>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429119" cy="2061365"/>
                          </a:xfrm>
                          <a:prstGeom prst="rect">
                            <a:avLst/>
                          </a:prstGeom>
                        </pic:spPr>
                      </pic:pic>
                    </a:graphicData>
                  </a:graphic>
                </wp:inline>
              </w:drawing>
            </w:r>
          </w:p>
        </w:tc>
        <w:tc>
          <w:tcPr>
            <w:tcW w:w="6588" w:type="dxa"/>
            <w:tcBorders>
              <w:top w:val="single" w:sz="12" w:space="0" w:color="0075C9"/>
              <w:bottom w:val="single" w:sz="12" w:space="0" w:color="0075C9"/>
              <w:right w:val="single" w:sz="12" w:space="0" w:color="0075C9"/>
            </w:tcBorders>
            <w:tcMar>
              <w:top w:w="0" w:type="dxa"/>
              <w:left w:w="0" w:type="dxa"/>
              <w:bottom w:w="0" w:type="dxa"/>
              <w:right w:w="40" w:type="dxa"/>
            </w:tcMar>
            <w:hideMark/>
          </w:tcPr>
          <w:p w14:paraId="7A310145" w14:textId="386916F3" w:rsidR="00D246A9" w:rsidRPr="000E33B3" w:rsidRDefault="00D246A9" w:rsidP="000E33B3">
            <w:pPr>
              <w:pStyle w:val="NormalWeb"/>
              <w:spacing w:before="160" w:beforeAutospacing="0" w:after="0" w:afterAutospacing="0"/>
              <w:rPr>
                <w:rFonts w:ascii="Arial" w:hAnsi="Arial" w:cs="Arial"/>
                <w:sz w:val="8"/>
                <w:szCs w:val="8"/>
              </w:rPr>
            </w:pPr>
            <w:r>
              <w:rPr>
                <w:rFonts w:ascii="Arial" w:hAnsi="Arial" w:cs="Arial"/>
                <w:i/>
                <w:iCs/>
                <w:sz w:val="28"/>
                <w:szCs w:val="28"/>
              </w:rPr>
              <w:t>“As a corporation, our purpose and actions must be aligned with addressing the world’s problems, not creating new ones. At our very core, we need to deliver innovation that helps drive broad economic growth. We, as a company, will do well when the world around us does well.”</w:t>
            </w:r>
          </w:p>
          <w:p w14:paraId="450AAF2C"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6661947" w14:textId="77777777" w:rsidR="000E33B3" w:rsidRDefault="00D246A9" w:rsidP="000E33B3">
            <w:pPr>
              <w:pStyle w:val="NormalWeb"/>
              <w:tabs>
                <w:tab w:val="right" w:pos="6540"/>
                <w:tab w:val="decimal" w:pos="6580"/>
              </w:tabs>
              <w:spacing w:before="0" w:beforeAutospacing="0" w:after="0" w:afterAutospacing="0"/>
              <w:ind w:left="3529"/>
              <w:rPr>
                <w:rFonts w:ascii="Arial" w:hAnsi="Arial" w:cs="Arial"/>
                <w:b/>
                <w:bCs/>
                <w:i/>
                <w:iCs/>
                <w:sz w:val="28"/>
                <w:szCs w:val="28"/>
              </w:rPr>
            </w:pPr>
            <w:r>
              <w:rPr>
                <w:rFonts w:ascii="Arial" w:hAnsi="Arial" w:cs="Arial"/>
                <w:b/>
                <w:bCs/>
                <w:i/>
                <w:iCs/>
                <w:sz w:val="28"/>
                <w:szCs w:val="28"/>
              </w:rPr>
              <w:t>Satya Nadella,</w:t>
            </w:r>
          </w:p>
          <w:p w14:paraId="001CC75C" w14:textId="7418CC64" w:rsidR="00D246A9" w:rsidRDefault="00D246A9" w:rsidP="000E33B3">
            <w:pPr>
              <w:pStyle w:val="NormalWeb"/>
              <w:tabs>
                <w:tab w:val="right" w:pos="6540"/>
                <w:tab w:val="decimal" w:pos="6580"/>
              </w:tabs>
              <w:spacing w:before="0" w:beforeAutospacing="0" w:after="0" w:afterAutospacing="0"/>
              <w:ind w:left="3529"/>
              <w:rPr>
                <w:rFonts w:ascii="Arial" w:hAnsi="Arial" w:cs="Arial"/>
                <w:sz w:val="28"/>
                <w:szCs w:val="28"/>
              </w:rPr>
            </w:pPr>
            <w:r>
              <w:rPr>
                <w:rFonts w:ascii="Arial" w:hAnsi="Arial" w:cs="Arial"/>
                <w:b/>
                <w:bCs/>
                <w:i/>
                <w:iCs/>
                <w:sz w:val="28"/>
                <w:szCs w:val="28"/>
              </w:rPr>
              <w:t>Chairman and CEO</w:t>
            </w:r>
            <w:r w:rsidR="00FE0A0A" w:rsidRPr="00FE0A0A">
              <w:rPr>
                <w:rFonts w:ascii="Arial" w:hAnsi="Arial" w:cs="Arial"/>
                <w:bCs/>
                <w:sz w:val="28"/>
                <w:szCs w:val="28"/>
              </w:rPr>
              <w:tab/>
            </w:r>
          </w:p>
          <w:p w14:paraId="6B18C50C" w14:textId="77777777" w:rsidR="00D246A9" w:rsidRDefault="00D246A9">
            <w:pPr>
              <w:pStyle w:val="NormalWeb"/>
              <w:spacing w:before="0" w:beforeAutospacing="0" w:after="20" w:afterAutospacing="0"/>
              <w:rPr>
                <w:rFonts w:ascii="Arial" w:hAnsi="Arial" w:cs="Arial"/>
                <w:sz w:val="20"/>
                <w:szCs w:val="20"/>
              </w:rPr>
            </w:pPr>
            <w:r>
              <w:rPr>
                <w:rFonts w:ascii="Arial" w:hAnsi="Arial" w:cs="Arial"/>
                <w:sz w:val="20"/>
                <w:szCs w:val="20"/>
              </w:rPr>
              <w:t> </w:t>
            </w:r>
          </w:p>
        </w:tc>
      </w:tr>
    </w:tbl>
    <w:p w14:paraId="7C04A4FF" w14:textId="77777777"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Corporation (“Company”) works to conduct business in ways that are principled, transparent, and accountable to our shareholders and other key stakeholders. We believe doing so generates long-term value. As we work to help everyone achieve more, we are committed to improving our world and reporting our progress. </w:t>
      </w:r>
    </w:p>
    <w:p w14:paraId="593AD28E" w14:textId="77777777" w:rsidR="00D246A9" w:rsidRDefault="00D246A9">
      <w:pPr>
        <w:pStyle w:val="NormalWeb"/>
        <w:spacing w:before="360" w:beforeAutospacing="0" w:after="0" w:afterAutospacing="0"/>
        <w:jc w:val="center"/>
        <w:rPr>
          <w:rFonts w:ascii="Arial" w:hAnsi="Arial" w:cs="Arial"/>
        </w:rPr>
      </w:pPr>
      <w:r>
        <w:rPr>
          <w:rFonts w:ascii="Arial" w:hAnsi="Arial" w:cs="Arial"/>
          <w:b/>
          <w:bCs/>
        </w:rPr>
        <w:t xml:space="preserve">Focus for Societal Impact </w:t>
      </w:r>
    </w:p>
    <w:p w14:paraId="54656FB2" w14:textId="7A3B86A8" w:rsidR="009673F6" w:rsidRDefault="00D246A9" w:rsidP="009673F6">
      <w:pPr>
        <w:pStyle w:val="NormalWeb"/>
        <w:keepNext/>
        <w:spacing w:before="120" w:beforeAutospacing="0" w:after="0" w:afterAutospacing="0"/>
        <w:rPr>
          <w:rFonts w:ascii="Arial" w:hAnsi="Arial" w:cs="Arial"/>
          <w:b/>
          <w:bCs/>
        </w:rPr>
      </w:pPr>
      <w:r>
        <w:rPr>
          <w:rFonts w:ascii="Arial" w:hAnsi="Arial" w:cs="Arial"/>
          <w:sz w:val="18"/>
          <w:szCs w:val="18"/>
        </w:rPr>
        <w:t xml:space="preserve">At Microsoft, we focus on four enduring commitments that are central to meeting our mission and that become even more important in the era of AI: </w:t>
      </w:r>
    </w:p>
    <w:p w14:paraId="067F6AA2" w14:textId="7D5A7A2C" w:rsidR="00D246A9" w:rsidRPr="00306F7C" w:rsidRDefault="009673F6">
      <w:pPr>
        <w:pStyle w:val="NormalWeb"/>
        <w:spacing w:before="360" w:beforeAutospacing="0" w:after="0" w:afterAutospacing="0"/>
        <w:jc w:val="center"/>
        <w:rPr>
          <w:rFonts w:ascii="Arial" w:hAnsi="Arial" w:cs="Arial"/>
        </w:rPr>
      </w:pPr>
      <w:r>
        <w:rPr>
          <w:rFonts w:ascii="Arial" w:hAnsi="Arial" w:cs="Arial"/>
          <w:b/>
          <w:bCs/>
          <w:noProof/>
        </w:rPr>
        <w:drawing>
          <wp:inline distT="0" distB="0" distL="0" distR="0" wp14:anchorId="130DEA0A" wp14:editId="2B5EEC6A">
            <wp:extent cx="6858000" cy="1266190"/>
            <wp:effectExtent l="0" t="0" r="0" b="0"/>
            <wp:docPr id="1062804990" name="Picture 10" descr="Expand opportunity. Earn trust. Protect fundamental rights. and Advance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04990" name="Picture 10" descr="Expand opportunity. Earn trust. Protect fundamental rights. and Advance sustainability."/>
                    <pic:cNvPicPr/>
                  </pic:nvPicPr>
                  <pic:blipFill>
                    <a:blip r:embed="rId11">
                      <a:extLst>
                        <a:ext uri="{28A0092B-C50C-407E-A947-70E740481C1C}">
                          <a14:useLocalDpi xmlns:a14="http://schemas.microsoft.com/office/drawing/2010/main" val="0"/>
                        </a:ext>
                      </a:extLst>
                    </a:blip>
                    <a:stretch>
                      <a:fillRect/>
                    </a:stretch>
                  </pic:blipFill>
                  <pic:spPr>
                    <a:xfrm>
                      <a:off x="0" y="0"/>
                      <a:ext cx="6858000" cy="1266190"/>
                    </a:xfrm>
                    <a:prstGeom prst="rect">
                      <a:avLst/>
                    </a:prstGeom>
                  </pic:spPr>
                </pic:pic>
              </a:graphicData>
            </a:graphic>
          </wp:inline>
        </w:drawing>
      </w:r>
      <w:r w:rsidR="00D246A9">
        <w:rPr>
          <w:rFonts w:ascii="Arial" w:hAnsi="Arial" w:cs="Arial"/>
          <w:b/>
          <w:bCs/>
        </w:rPr>
        <w:t xml:space="preserve">Note About Forward-Looking Statements </w:t>
      </w:r>
    </w:p>
    <w:p w14:paraId="612A823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Proxy Statement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Proxy Summary and Part 2 – Named Executive Officer Compensation.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“Quantitative and Qualitative Disclosures about Market Risk,” and “Management’s Discussion and Analysis of Financial Condition and Results of Operations” sections of our Forms 10-K and 10-Q. Readers are cautioned not to place undue reliance on forward-looking statements, which speak only as of the date they are made. We undertake no obligation to update or revise publicly any forward-looking statements, whether because of new information, future events, or otherwise. </w:t>
      </w:r>
    </w:p>
    <w:p w14:paraId="36D389F9" w14:textId="77777777" w:rsidR="00D246A9" w:rsidRDefault="00D246A9">
      <w:pPr>
        <w:pStyle w:val="NormalWeb"/>
        <w:keepNext/>
        <w:spacing w:before="0" w:beforeAutospacing="0" w:after="0" w:afterAutospacing="0"/>
        <w:rPr>
          <w:sz w:val="20"/>
          <w:szCs w:val="20"/>
        </w:rPr>
      </w:pPr>
      <w:r>
        <w:rPr>
          <w:sz w:val="20"/>
          <w:szCs w:val="20"/>
        </w:rPr>
        <w:t> </w:t>
      </w:r>
    </w:p>
    <w:p w14:paraId="6C60DC30" w14:textId="77777777" w:rsidR="00D246A9" w:rsidRDefault="00D246A9">
      <w:pPr>
        <w:pStyle w:val="NormalWeb"/>
        <w:spacing w:before="360" w:beforeAutospacing="0" w:after="0" w:afterAutospacing="0"/>
        <w:rPr>
          <w:rFonts w:ascii="Arial" w:hAnsi="Arial" w:cs="Arial"/>
          <w:sz w:val="18"/>
          <w:szCs w:val="18"/>
        </w:rPr>
      </w:pPr>
      <w:r>
        <w:rPr>
          <w:rFonts w:ascii="Arial" w:hAnsi="Arial" w:cs="Arial"/>
          <w:i/>
          <w:iCs/>
          <w:sz w:val="18"/>
          <w:szCs w:val="18"/>
        </w:rPr>
        <w:t xml:space="preserve">This Proxy Statement includes several website addresses and references to additional materials found on those websites. These websites and materials are not incorporated by reference herein. </w:t>
      </w:r>
    </w:p>
    <w:p w14:paraId="5AEC0942" w14:textId="77777777" w:rsidR="00D246A9" w:rsidRDefault="00D246A9">
      <w:pPr>
        <w:pStyle w:val="NormalWeb"/>
        <w:spacing w:before="270" w:beforeAutospacing="0" w:after="0" w:afterAutospacing="0"/>
        <w:rPr>
          <w:sz w:val="2"/>
          <w:szCs w:val="2"/>
        </w:rPr>
      </w:pPr>
      <w:r>
        <w:br w:type="page"/>
      </w:r>
      <w:r>
        <w:rPr>
          <w:sz w:val="2"/>
          <w:szCs w:val="2"/>
        </w:rPr>
        <w:lastRenderedPageBreak/>
        <w:t> </w:t>
      </w:r>
    </w:p>
    <w:p w14:paraId="2C2C1181" w14:textId="69997669" w:rsidR="00D246A9" w:rsidRDefault="00F81E28">
      <w:pPr>
        <w:pStyle w:val="NormalWeb"/>
        <w:keepNext/>
        <w:spacing w:before="0" w:beforeAutospacing="0" w:after="0" w:afterAutospacing="0"/>
        <w:rPr>
          <w:sz w:val="36"/>
          <w:szCs w:val="36"/>
        </w:rPr>
      </w:pPr>
      <w:r>
        <w:rPr>
          <w:noProof/>
          <w:sz w:val="2"/>
          <w:szCs w:val="2"/>
        </w:rPr>
        <mc:AlternateContent>
          <mc:Choice Requires="wps">
            <w:drawing>
              <wp:anchor distT="0" distB="0" distL="114300" distR="114300" simplePos="0" relativeHeight="251657214" behindDoc="1" locked="0" layoutInCell="1" allowOverlap="1" wp14:anchorId="4B6634D9" wp14:editId="45B62E5A">
                <wp:simplePos x="0" y="0"/>
                <wp:positionH relativeFrom="column">
                  <wp:posOffset>-155275</wp:posOffset>
                </wp:positionH>
                <wp:positionV relativeFrom="paragraph">
                  <wp:posOffset>280490</wp:posOffset>
                </wp:positionV>
                <wp:extent cx="7092542" cy="8657590"/>
                <wp:effectExtent l="19050" t="19050" r="13335" b="10160"/>
                <wp:wrapNone/>
                <wp:docPr id="331" name="Rectangl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542" cy="8657590"/>
                        </a:xfrm>
                        <a:prstGeom prst="rect">
                          <a:avLst/>
                        </a:prstGeom>
                        <a:solidFill>
                          <a:srgbClr val="FFFFFF"/>
                        </a:solidFill>
                        <a:ln w="28575">
                          <a:solidFill>
                            <a:srgbClr val="0075C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29E2B" id="Rectangle 331" o:spid="_x0000_s1026" alt="&quot;&quot;" style="position:absolute;margin-left:-12.25pt;margin-top:22.1pt;width:558.45pt;height:681.7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" strokecolor="#0075c9" strokeweight="2.25pt"/>
            </w:pict>
          </mc:Fallback>
        </mc:AlternateContent>
      </w:r>
      <w:r w:rsidR="00D246A9">
        <w:rPr>
          <w:sz w:val="36"/>
          <w:szCs w:val="36"/>
        </w:rPr>
        <w:t> </w:t>
      </w:r>
    </w:p>
    <w:p w14:paraId="31A84440" w14:textId="32C5CEC0" w:rsidR="00D246A9" w:rsidRDefault="00D246A9">
      <w:pPr>
        <w:pStyle w:val="NormalWeb"/>
        <w:keepNext/>
        <w:spacing w:before="0" w:beforeAutospacing="0" w:after="0" w:afterAutospacing="0"/>
        <w:rPr>
          <w:sz w:val="48"/>
          <w:szCs w:val="48"/>
        </w:rPr>
      </w:pPr>
      <w:r>
        <w:rPr>
          <w:sz w:val="48"/>
          <w:szCs w:val="48"/>
        </w:rPr>
        <w:t> </w:t>
      </w:r>
    </w:p>
    <w:p w14:paraId="1F4F228B" w14:textId="77777777" w:rsidR="00D246A9" w:rsidRDefault="00D246A9">
      <w:pPr>
        <w:pStyle w:val="NormalWeb"/>
        <w:keepNext/>
        <w:spacing w:before="0" w:beforeAutospacing="0" w:after="0" w:afterAutospacing="0"/>
        <w:rPr>
          <w:sz w:val="2"/>
          <w:szCs w:val="2"/>
        </w:rPr>
      </w:pPr>
      <w:r>
        <w:rPr>
          <w:sz w:val="2"/>
          <w:szCs w:val="2"/>
        </w:rPr>
        <w:t> </w:t>
      </w:r>
    </w:p>
    <w:p w14:paraId="39ECF96D" w14:textId="470B1E4B" w:rsidR="00D246A9" w:rsidRDefault="009673F6">
      <w:pPr>
        <w:pStyle w:val="NormalWeb"/>
        <w:spacing w:before="0" w:beforeAutospacing="0" w:after="0" w:afterAutospacing="0"/>
        <w:jc w:val="center"/>
      </w:pPr>
      <w:r>
        <w:rPr>
          <w:noProof/>
        </w:rPr>
        <w:drawing>
          <wp:inline distT="0" distB="0" distL="0" distR="0" wp14:anchorId="10960016" wp14:editId="39112907">
            <wp:extent cx="1828800" cy="381000"/>
            <wp:effectExtent l="0" t="0" r="0" b="0"/>
            <wp:docPr id="159364459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44591" name="Picture 1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828800" cy="381000"/>
                    </a:xfrm>
                    <a:prstGeom prst="rect">
                      <a:avLst/>
                    </a:prstGeom>
                  </pic:spPr>
                </pic:pic>
              </a:graphicData>
            </a:graphic>
          </wp:inline>
        </w:drawing>
      </w:r>
    </w:p>
    <w:p w14:paraId="532996A6" w14:textId="77777777" w:rsidR="00D246A9" w:rsidRDefault="00D246A9">
      <w:pPr>
        <w:pStyle w:val="NormalWeb"/>
        <w:spacing w:before="520" w:beforeAutospacing="0" w:after="0" w:afterAutospacing="0"/>
        <w:rPr>
          <w:rFonts w:ascii="Arial" w:hAnsi="Arial" w:cs="Arial"/>
          <w:sz w:val="37"/>
          <w:szCs w:val="37"/>
        </w:rPr>
      </w:pPr>
      <w:r>
        <w:rPr>
          <w:rFonts w:ascii="Arial" w:hAnsi="Arial" w:cs="Arial"/>
          <w:b/>
          <w:bCs/>
          <w:sz w:val="37"/>
          <w:szCs w:val="37"/>
        </w:rPr>
        <w:t xml:space="preserve">Letter from our Chairman and Chief Executive Officer </w:t>
      </w:r>
    </w:p>
    <w:p w14:paraId="7D854627" w14:textId="77777777" w:rsidR="00D246A9" w:rsidRDefault="00D246A9">
      <w:pPr>
        <w:pStyle w:val="NormalWeb"/>
        <w:spacing w:before="480" w:beforeAutospacing="0" w:after="0" w:afterAutospacing="0"/>
        <w:rPr>
          <w:rFonts w:ascii="Arial" w:hAnsi="Arial" w:cs="Arial"/>
          <w:sz w:val="18"/>
          <w:szCs w:val="18"/>
        </w:rPr>
      </w:pPr>
      <w:r>
        <w:rPr>
          <w:rFonts w:ascii="Arial" w:hAnsi="Arial" w:cs="Arial"/>
          <w:sz w:val="18"/>
          <w:szCs w:val="18"/>
        </w:rPr>
        <w:t xml:space="preserve">October 19, 2023 </w:t>
      </w:r>
    </w:p>
    <w:p w14:paraId="7CE13CED" w14:textId="77777777" w:rsidR="00D246A9" w:rsidRDefault="00D246A9">
      <w:pPr>
        <w:pStyle w:val="NormalWeb"/>
        <w:spacing w:before="160" w:beforeAutospacing="0" w:after="0" w:afterAutospacing="0"/>
        <w:rPr>
          <w:rFonts w:ascii="Arial" w:hAnsi="Arial" w:cs="Arial"/>
        </w:rPr>
      </w:pPr>
      <w:r>
        <w:rPr>
          <w:rFonts w:ascii="Arial" w:hAnsi="Arial" w:cs="Arial"/>
          <w:color w:val="0075C9"/>
        </w:rPr>
        <w:t xml:space="preserve">Dear Shareholder, </w:t>
      </w:r>
    </w:p>
    <w:p w14:paraId="67EB4C8D" w14:textId="77777777" w:rsidR="00D246A9" w:rsidRDefault="00D246A9">
      <w:pPr>
        <w:pStyle w:val="NormalWeb"/>
        <w:spacing w:before="160" w:beforeAutospacing="0" w:after="0" w:afterAutospacing="0"/>
        <w:rPr>
          <w:rFonts w:ascii="Arial" w:hAnsi="Arial" w:cs="Arial"/>
          <w:sz w:val="18"/>
          <w:szCs w:val="18"/>
        </w:rPr>
      </w:pPr>
      <w:r>
        <w:rPr>
          <w:rFonts w:ascii="Arial" w:hAnsi="Arial" w:cs="Arial"/>
          <w:sz w:val="18"/>
          <w:szCs w:val="18"/>
        </w:rPr>
        <w:t xml:space="preserve">On behalf of the Board of Directors, it is our pleasure to invite you to the 2023 Annual Shareholders Meeting of Microsoft Corporation (“Annual Meeting”), on December 7, 2023, beginning at 8:30 a.m. Pacific Time. This year’s Annual Meeting will be held in a virtual format through a live webcast. We will provide the webcast of the Annual Meeting at </w:t>
      </w:r>
      <w:r>
        <w:rPr>
          <w:rFonts w:ascii="Arial" w:hAnsi="Arial" w:cs="Arial"/>
          <w:sz w:val="18"/>
          <w:szCs w:val="18"/>
          <w:u w:val="single"/>
        </w:rPr>
        <w:t>virtualshareholdermeeting.com/MSFT23</w:t>
      </w:r>
      <w:r>
        <w:rPr>
          <w:rFonts w:ascii="Arial" w:hAnsi="Arial" w:cs="Arial"/>
          <w:sz w:val="18"/>
          <w:szCs w:val="18"/>
        </w:rPr>
        <w:t xml:space="preserve">. In addition, you will have the option to view the Annual Meeting through Microsoft Teams at </w:t>
      </w:r>
      <w:r>
        <w:rPr>
          <w:rFonts w:ascii="Arial" w:hAnsi="Arial" w:cs="Arial"/>
          <w:sz w:val="18"/>
          <w:szCs w:val="18"/>
          <w:u w:val="single"/>
        </w:rPr>
        <w:t>microsoft.com/investor</w:t>
      </w:r>
      <w:r>
        <w:rPr>
          <w:rFonts w:ascii="Arial" w:hAnsi="Arial" w:cs="Arial"/>
          <w:sz w:val="18"/>
          <w:szCs w:val="18"/>
        </w:rPr>
        <w:t xml:space="preserve">. A transcript with video and audio of the entire Annual Meeting will be available on the Microsoft Investor Relations website after the meeting. For more information on how to participate in the meeting, please see Part 5 – Information About the Meeting on page 88 in this Proxy Statement. </w:t>
      </w:r>
    </w:p>
    <w:p w14:paraId="48E4B22F" w14:textId="77777777" w:rsidR="00D246A9" w:rsidRDefault="00D246A9">
      <w:pPr>
        <w:pStyle w:val="NormalWeb"/>
        <w:spacing w:before="160" w:beforeAutospacing="0" w:after="0" w:afterAutospacing="0"/>
        <w:rPr>
          <w:rFonts w:ascii="Arial" w:hAnsi="Arial" w:cs="Arial"/>
          <w:sz w:val="18"/>
          <w:szCs w:val="18"/>
        </w:rPr>
      </w:pPr>
      <w:r>
        <w:rPr>
          <w:rFonts w:ascii="Arial" w:hAnsi="Arial" w:cs="Arial"/>
          <w:sz w:val="18"/>
          <w:szCs w:val="18"/>
        </w:rPr>
        <w:t xml:space="preserve">The Notice of 2023 Annual Shareholders and this Proxy Statement contain details of the business to be conducted during the Annual Meeting. </w:t>
      </w:r>
    </w:p>
    <w:p w14:paraId="0894A3AC" w14:textId="77777777" w:rsidR="00D246A9" w:rsidRDefault="00D246A9">
      <w:pPr>
        <w:pStyle w:val="NormalWeb"/>
        <w:spacing w:before="160" w:beforeAutospacing="0" w:after="0" w:afterAutospacing="0"/>
        <w:rPr>
          <w:rFonts w:ascii="Arial" w:hAnsi="Arial" w:cs="Arial"/>
          <w:sz w:val="18"/>
          <w:szCs w:val="18"/>
        </w:rPr>
      </w:pPr>
      <w:r>
        <w:rPr>
          <w:rFonts w:ascii="Arial" w:hAnsi="Arial" w:cs="Arial"/>
          <w:sz w:val="18"/>
          <w:szCs w:val="18"/>
        </w:rPr>
        <w:t xml:space="preserve">Whether or not you participate in the Annual Meeting, it is important that your shares be represented and voted. We urge you to promptly vote and submit your proxy (1) via the Internet, (2) by phone, or (3) if you received your proxy materials by mail, by signing, dating, and returning the enclosed proxy card or voting instruction form in the envelope provided for your convenience. </w:t>
      </w:r>
    </w:p>
    <w:p w14:paraId="4957B4DB" w14:textId="77777777" w:rsidR="00D246A9" w:rsidRDefault="00D246A9">
      <w:pPr>
        <w:pStyle w:val="NormalWeb"/>
        <w:spacing w:before="160" w:beforeAutospacing="0" w:after="0" w:afterAutospacing="0"/>
        <w:rPr>
          <w:rFonts w:ascii="Arial" w:hAnsi="Arial" w:cs="Arial"/>
          <w:sz w:val="18"/>
          <w:szCs w:val="18"/>
        </w:rPr>
      </w:pPr>
      <w:r>
        <w:rPr>
          <w:rFonts w:ascii="Arial" w:hAnsi="Arial" w:cs="Arial"/>
          <w:sz w:val="18"/>
          <w:szCs w:val="18"/>
        </w:rPr>
        <w:t xml:space="preserve">This year’s </w:t>
      </w:r>
      <w:proofErr w:type="gramStart"/>
      <w:r>
        <w:rPr>
          <w:rFonts w:ascii="Arial" w:hAnsi="Arial" w:cs="Arial"/>
          <w:sz w:val="18"/>
          <w:szCs w:val="18"/>
        </w:rPr>
        <w:t>shareholders</w:t>
      </w:r>
      <w:proofErr w:type="gramEnd"/>
      <w:r>
        <w:rPr>
          <w:rFonts w:ascii="Arial" w:hAnsi="Arial" w:cs="Arial"/>
          <w:sz w:val="18"/>
          <w:szCs w:val="18"/>
        </w:rPr>
        <w:t xml:space="preserve"> Q&amp;A session will include an opportunity to submit questions. You may submit a question in advance of the meeting at </w:t>
      </w:r>
      <w:r>
        <w:rPr>
          <w:rFonts w:ascii="Arial" w:hAnsi="Arial" w:cs="Arial"/>
          <w:sz w:val="18"/>
          <w:szCs w:val="18"/>
          <w:u w:val="single"/>
        </w:rPr>
        <w:t>proxyvote.com</w:t>
      </w:r>
      <w:r>
        <w:rPr>
          <w:rFonts w:ascii="Arial" w:hAnsi="Arial" w:cs="Arial"/>
          <w:sz w:val="18"/>
          <w:szCs w:val="18"/>
        </w:rPr>
        <w:t xml:space="preserve"> after logging in with the control number (“Control Number”) found next to the label for postal mail recipients or within the body of the email sending you the Proxy Statement. Live questions may be submitted online beginning shortly before the start of the Annual Meeting through </w:t>
      </w:r>
      <w:r>
        <w:rPr>
          <w:rFonts w:ascii="Arial" w:hAnsi="Arial" w:cs="Arial"/>
          <w:sz w:val="18"/>
          <w:szCs w:val="18"/>
          <w:u w:val="single"/>
        </w:rPr>
        <w:t>virtualshareholdermeeting.com/MSFT23</w:t>
      </w:r>
      <w:r>
        <w:rPr>
          <w:rFonts w:ascii="Arial" w:hAnsi="Arial" w:cs="Arial"/>
          <w:sz w:val="18"/>
          <w:szCs w:val="18"/>
        </w:rPr>
        <w:t xml:space="preserve">. </w:t>
      </w:r>
    </w:p>
    <w:p w14:paraId="44C21850" w14:textId="77777777" w:rsidR="00D246A9" w:rsidRDefault="00D246A9">
      <w:pPr>
        <w:pStyle w:val="NormalWeb"/>
        <w:spacing w:before="160" w:beforeAutospacing="0" w:after="0" w:afterAutospacing="0"/>
        <w:rPr>
          <w:rFonts w:ascii="Arial" w:hAnsi="Arial" w:cs="Arial"/>
          <w:sz w:val="18"/>
          <w:szCs w:val="18"/>
        </w:rPr>
      </w:pPr>
      <w:r>
        <w:rPr>
          <w:rFonts w:ascii="Arial" w:hAnsi="Arial" w:cs="Arial"/>
          <w:sz w:val="18"/>
          <w:szCs w:val="18"/>
        </w:rPr>
        <w:t xml:space="preserve">Thank you for your continued investment in Microsoft. </w:t>
      </w:r>
    </w:p>
    <w:p w14:paraId="652B9E56" w14:textId="77777777" w:rsidR="00D246A9" w:rsidRDefault="00D246A9">
      <w:pPr>
        <w:pStyle w:val="NormalWeb"/>
        <w:spacing w:before="160" w:beforeAutospacing="0" w:after="0" w:afterAutospacing="0"/>
        <w:rPr>
          <w:rFonts w:ascii="Arial" w:hAnsi="Arial" w:cs="Arial"/>
          <w:sz w:val="18"/>
          <w:szCs w:val="18"/>
        </w:rPr>
      </w:pPr>
      <w:r>
        <w:rPr>
          <w:rFonts w:ascii="Arial" w:hAnsi="Arial" w:cs="Arial"/>
          <w:sz w:val="18"/>
          <w:szCs w:val="18"/>
        </w:rPr>
        <w:t xml:space="preserve">Sincerely, </w:t>
      </w:r>
    </w:p>
    <w:p w14:paraId="55662AF3" w14:textId="77777777" w:rsidR="00D246A9" w:rsidRDefault="00D246A9">
      <w:pPr>
        <w:pStyle w:val="NormalWeb"/>
        <w:keepNext/>
        <w:spacing w:before="0" w:beforeAutospacing="0" w:after="0" w:afterAutospacing="0"/>
      </w:pPr>
      <w:r>
        <w:t> </w:t>
      </w:r>
    </w:p>
    <w:p w14:paraId="4B8A80B9" w14:textId="77777777" w:rsidR="00D246A9" w:rsidRDefault="00D246A9">
      <w:pPr>
        <w:pStyle w:val="NormalWeb"/>
        <w:keepNext/>
        <w:spacing w:before="0" w:beforeAutospacing="0" w:after="0" w:afterAutospacing="0"/>
        <w:rPr>
          <w:sz w:val="2"/>
          <w:szCs w:val="2"/>
        </w:rPr>
      </w:pPr>
      <w:r>
        <w:rPr>
          <w:sz w:val="2"/>
          <w:szCs w:val="2"/>
        </w:rPr>
        <w:t> </w:t>
      </w:r>
    </w:p>
    <w:p w14:paraId="1B7907E2" w14:textId="50B3888E" w:rsidR="00D246A9" w:rsidRDefault="009673F6">
      <w:pPr>
        <w:pStyle w:val="NormalWeb"/>
        <w:spacing w:before="0" w:beforeAutospacing="0" w:after="0" w:afterAutospacing="0"/>
      </w:pPr>
      <w:r>
        <w:rPr>
          <w:noProof/>
        </w:rPr>
        <w:drawing>
          <wp:inline distT="0" distB="0" distL="0" distR="0" wp14:anchorId="128A933E" wp14:editId="0CF26E66">
            <wp:extent cx="1188720" cy="516416"/>
            <wp:effectExtent l="0" t="0" r="0" b="0"/>
            <wp:docPr id="1088418323" name="Picture 12" descr="The signature of Satya Nadell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18323" name="Picture 12" descr="The signature of Satya Nadella">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188720" cy="516416"/>
                    </a:xfrm>
                    <a:prstGeom prst="rect">
                      <a:avLst/>
                    </a:prstGeom>
                  </pic:spPr>
                </pic:pic>
              </a:graphicData>
            </a:graphic>
          </wp:inline>
        </w:drawing>
      </w:r>
    </w:p>
    <w:p w14:paraId="0D30384E" w14:textId="77777777" w:rsidR="00D246A9" w:rsidRDefault="00D246A9">
      <w:pPr>
        <w:pStyle w:val="NormalWeb"/>
        <w:spacing w:before="160" w:beforeAutospacing="0" w:after="0" w:afterAutospacing="0"/>
        <w:rPr>
          <w:rFonts w:ascii="Arial" w:hAnsi="Arial" w:cs="Arial"/>
          <w:sz w:val="18"/>
          <w:szCs w:val="18"/>
        </w:rPr>
      </w:pPr>
      <w:r>
        <w:rPr>
          <w:rFonts w:ascii="Arial" w:hAnsi="Arial" w:cs="Arial"/>
          <w:b/>
          <w:bCs/>
          <w:sz w:val="18"/>
          <w:szCs w:val="18"/>
        </w:rPr>
        <w:t xml:space="preserve">Satya Nadella </w:t>
      </w:r>
    </w:p>
    <w:p w14:paraId="0DECBB97"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Chairman and Chief Executive Officer </w:t>
      </w:r>
    </w:p>
    <w:p w14:paraId="4DE54C9F" w14:textId="485122BF" w:rsidR="00D246A9" w:rsidRDefault="00D246A9">
      <w:pPr>
        <w:pStyle w:val="NormalWeb"/>
        <w:spacing w:before="270" w:beforeAutospacing="0" w:after="0" w:afterAutospacing="0"/>
        <w:rPr>
          <w:sz w:val="2"/>
          <w:szCs w:val="2"/>
        </w:rPr>
      </w:pPr>
      <w:r>
        <w:br w:type="page"/>
      </w:r>
      <w:r w:rsidR="00F81E28">
        <w:rPr>
          <w:noProof/>
          <w:sz w:val="2"/>
          <w:szCs w:val="2"/>
        </w:rPr>
        <w:lastRenderedPageBreak/>
        <mc:AlternateContent>
          <mc:Choice Requires="wps">
            <w:drawing>
              <wp:anchor distT="0" distB="0" distL="114300" distR="114300" simplePos="0" relativeHeight="251658239" behindDoc="1" locked="0" layoutInCell="1" allowOverlap="1" wp14:anchorId="048F940B" wp14:editId="75E05D3D">
                <wp:simplePos x="0" y="0"/>
                <wp:positionH relativeFrom="column">
                  <wp:posOffset>-191660</wp:posOffset>
                </wp:positionH>
                <wp:positionV relativeFrom="paragraph">
                  <wp:posOffset>30977</wp:posOffset>
                </wp:positionV>
                <wp:extent cx="7153027" cy="8657590"/>
                <wp:effectExtent l="19050" t="19050" r="10160" b="10160"/>
                <wp:wrapNone/>
                <wp:docPr id="853072654" name="Rectangle 853072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3027" cy="8657590"/>
                        </a:xfrm>
                        <a:prstGeom prst="rect">
                          <a:avLst/>
                        </a:prstGeom>
                        <a:solidFill>
                          <a:srgbClr val="FFFFFF"/>
                        </a:solidFill>
                        <a:ln w="28575">
                          <a:solidFill>
                            <a:srgbClr val="0075C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E0E3C" id="Rectangle 853072654" o:spid="_x0000_s1026" alt="&quot;&quot;" style="position:absolute;margin-left:-15.1pt;margin-top:2.45pt;width:563.25pt;height:68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" strokecolor="#0075c9" strokeweight="2.25pt"/>
            </w:pict>
          </mc:Fallback>
        </mc:AlternateContent>
      </w:r>
      <w:r>
        <w:rPr>
          <w:sz w:val="2"/>
          <w:szCs w:val="2"/>
        </w:rPr>
        <w:t> </w:t>
      </w:r>
    </w:p>
    <w:p w14:paraId="70B95583" w14:textId="2D4EEFC5" w:rsidR="00D246A9" w:rsidRDefault="00D246A9">
      <w:pPr>
        <w:pStyle w:val="NormalWeb"/>
        <w:keepNext/>
        <w:spacing w:before="0" w:beforeAutospacing="0" w:after="0" w:afterAutospacing="0"/>
      </w:pPr>
      <w:r>
        <w:t> </w:t>
      </w:r>
    </w:p>
    <w:p w14:paraId="1112760F" w14:textId="77777777" w:rsidR="00D246A9" w:rsidRDefault="00D246A9">
      <w:pPr>
        <w:pStyle w:val="NormalWeb"/>
        <w:keepNext/>
        <w:spacing w:before="0" w:beforeAutospacing="0" w:after="0" w:afterAutospacing="0"/>
        <w:rPr>
          <w:sz w:val="2"/>
          <w:szCs w:val="2"/>
        </w:rPr>
      </w:pPr>
      <w:r>
        <w:rPr>
          <w:sz w:val="2"/>
          <w:szCs w:val="2"/>
        </w:rPr>
        <w:t> </w:t>
      </w:r>
    </w:p>
    <w:p w14:paraId="0C47CD7B" w14:textId="144F2030" w:rsidR="00D246A9" w:rsidRDefault="009673F6">
      <w:pPr>
        <w:pStyle w:val="NormalWeb"/>
        <w:spacing w:before="0" w:beforeAutospacing="0" w:after="0" w:afterAutospacing="0"/>
        <w:jc w:val="center"/>
      </w:pPr>
      <w:r>
        <w:rPr>
          <w:noProof/>
        </w:rPr>
        <w:drawing>
          <wp:inline distT="0" distB="0" distL="0" distR="0" wp14:anchorId="3A928B6F" wp14:editId="504D0EE9">
            <wp:extent cx="1828800" cy="381000"/>
            <wp:effectExtent l="0" t="0" r="0" b="0"/>
            <wp:docPr id="108027913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79135" name="Picture 1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828800" cy="381000"/>
                    </a:xfrm>
                    <a:prstGeom prst="rect">
                      <a:avLst/>
                    </a:prstGeom>
                  </pic:spPr>
                </pic:pic>
              </a:graphicData>
            </a:graphic>
          </wp:inline>
        </w:drawing>
      </w:r>
    </w:p>
    <w:p w14:paraId="39A2ABB8" w14:textId="77777777" w:rsidR="00D246A9" w:rsidRDefault="00D246A9">
      <w:pPr>
        <w:pStyle w:val="NormalWeb"/>
        <w:keepNext/>
        <w:spacing w:before="0" w:beforeAutospacing="0" w:after="0" w:afterAutospacing="0"/>
        <w:rPr>
          <w:sz w:val="16"/>
          <w:szCs w:val="16"/>
        </w:rPr>
      </w:pPr>
      <w:r>
        <w:rPr>
          <w:sz w:val="16"/>
          <w:szCs w:val="16"/>
        </w:rPr>
        <w:t> </w:t>
      </w:r>
    </w:p>
    <w:p w14:paraId="30A288FD" w14:textId="77777777" w:rsidR="00D246A9" w:rsidRDefault="00D246A9">
      <w:pPr>
        <w:pStyle w:val="NormalWeb"/>
        <w:spacing w:before="160" w:beforeAutospacing="0" w:after="0" w:afterAutospacing="0"/>
        <w:rPr>
          <w:rFonts w:ascii="Arial" w:hAnsi="Arial" w:cs="Arial"/>
          <w:sz w:val="37"/>
          <w:szCs w:val="37"/>
        </w:rPr>
      </w:pPr>
      <w:r>
        <w:rPr>
          <w:rFonts w:ascii="Arial" w:hAnsi="Arial" w:cs="Arial"/>
          <w:b/>
          <w:bCs/>
          <w:sz w:val="37"/>
          <w:szCs w:val="37"/>
        </w:rPr>
        <w:t xml:space="preserve">Letter from the Board of Directors </w:t>
      </w:r>
    </w:p>
    <w:p w14:paraId="666E0EE6" w14:textId="77777777" w:rsidR="00D246A9" w:rsidRDefault="00D246A9">
      <w:pPr>
        <w:pStyle w:val="NormalWeb"/>
        <w:keepNext/>
        <w:spacing w:before="0" w:beforeAutospacing="0" w:after="0" w:afterAutospacing="0"/>
        <w:rPr>
          <w:sz w:val="12"/>
          <w:szCs w:val="12"/>
        </w:rPr>
      </w:pPr>
      <w:r>
        <w:rPr>
          <w:sz w:val="12"/>
          <w:szCs w:val="12"/>
        </w:rPr>
        <w:t> </w:t>
      </w:r>
    </w:p>
    <w:p w14:paraId="273E883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October 19, 2023 </w:t>
      </w:r>
    </w:p>
    <w:p w14:paraId="24FC66B8" w14:textId="77777777" w:rsidR="00D246A9" w:rsidRDefault="00D246A9">
      <w:pPr>
        <w:pStyle w:val="NormalWeb"/>
        <w:keepNext/>
        <w:spacing w:before="0" w:beforeAutospacing="0" w:after="0" w:afterAutospacing="0"/>
        <w:rPr>
          <w:sz w:val="8"/>
          <w:szCs w:val="8"/>
        </w:rPr>
      </w:pPr>
      <w:r>
        <w:rPr>
          <w:sz w:val="8"/>
          <w:szCs w:val="8"/>
        </w:rPr>
        <w:t> </w:t>
      </w:r>
    </w:p>
    <w:p w14:paraId="01FD784A" w14:textId="77777777" w:rsidR="00D246A9" w:rsidRDefault="00D246A9">
      <w:pPr>
        <w:pStyle w:val="NormalWeb"/>
        <w:spacing w:before="80" w:beforeAutospacing="0" w:after="0" w:afterAutospacing="0"/>
        <w:rPr>
          <w:rFonts w:ascii="Arial" w:hAnsi="Arial" w:cs="Arial"/>
        </w:rPr>
      </w:pPr>
      <w:r>
        <w:rPr>
          <w:rFonts w:ascii="Arial" w:hAnsi="Arial" w:cs="Arial"/>
          <w:color w:val="0075C9"/>
        </w:rPr>
        <w:t xml:space="preserve">Dear Shareholder, </w:t>
      </w:r>
    </w:p>
    <w:p w14:paraId="73FC616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As we’ve expressed in this letter over the past several years, the Board is incredibly proud of the work Microsoft and its employees have done with our customers and partners to help the world use digital technology to address business and societal challenges around the globe. We are excited by what Microsoft’s advancements in a defining technology of our time, artificial intelligence (“AI”), can and will do for people, industry, and society and the central role AI will play in the Company’s mission to help every person and organization on the planet to achieve more. We also recognize the responsibility to ensure this world-changing technology is used responsibly. Microsoft’s work on AI is guided by a core set of principles: fairness, reliability and safety, privacy and security, inclusiveness, transparency, and accountability. </w:t>
      </w:r>
    </w:p>
    <w:p w14:paraId="3430D6C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Amidst global business challenges, Microsoft revenues once again broke records in fiscal year 2023. Microsoft’s leadership and the Company as a whole achieved this through relentless focus on providing </w:t>
      </w:r>
      <w:proofErr w:type="gramStart"/>
      <w:r>
        <w:rPr>
          <w:rFonts w:ascii="Arial" w:hAnsi="Arial" w:cs="Arial"/>
          <w:sz w:val="18"/>
          <w:szCs w:val="18"/>
        </w:rPr>
        <w:t>technology</w:t>
      </w:r>
      <w:proofErr w:type="gramEnd"/>
      <w:r>
        <w:rPr>
          <w:rFonts w:ascii="Arial" w:hAnsi="Arial" w:cs="Arial"/>
          <w:sz w:val="18"/>
          <w:szCs w:val="18"/>
        </w:rPr>
        <w:t xml:space="preserve"> innovations to make our customers more productive and resilient. As a result, Microsoft delivered strong results for its shareholders, including a return of over $38 billion in the form of share repurchases and dividends. We look forward to more </w:t>
      </w:r>
      <w:proofErr w:type="gramStart"/>
      <w:r>
        <w:rPr>
          <w:rFonts w:ascii="Arial" w:hAnsi="Arial" w:cs="Arial"/>
          <w:sz w:val="18"/>
          <w:szCs w:val="18"/>
        </w:rPr>
        <w:t>opportunity</w:t>
      </w:r>
      <w:proofErr w:type="gramEnd"/>
      <w:r>
        <w:rPr>
          <w:rFonts w:ascii="Arial" w:hAnsi="Arial" w:cs="Arial"/>
          <w:sz w:val="18"/>
          <w:szCs w:val="18"/>
        </w:rPr>
        <w:t xml:space="preserve"> ahead as we remain committed to the long-term interests of the Company’s shareholders and a broad range of stakeholders critical to the Company’s success, including employees, customers, the communities we operate in, and our partners and suppliers. </w:t>
      </w:r>
    </w:p>
    <w:p w14:paraId="50AC698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With this in mind, Microsoft continued to provide transparency in its progress towards important environmental and social commitments, including our climate goals, our progress towards advancing diversity and inclusion across our workforce, and the Racial Equity Initiative goals we are committed to meet by 2025. For more information on these initiatives and information across a breadth of environmental, social, and governance topics, we encourage you to read the progress reports Microsoft published over the course of the past fiscal year which are available at </w:t>
      </w:r>
      <w:r>
        <w:rPr>
          <w:rFonts w:ascii="Arial" w:hAnsi="Arial" w:cs="Arial"/>
          <w:sz w:val="18"/>
          <w:szCs w:val="18"/>
          <w:u w:val="single"/>
        </w:rPr>
        <w:t>microsoft.com/transparency</w:t>
      </w:r>
      <w:r>
        <w:rPr>
          <w:rFonts w:ascii="Arial" w:hAnsi="Arial" w:cs="Arial"/>
          <w:sz w:val="18"/>
          <w:szCs w:val="18"/>
        </w:rPr>
        <w:t xml:space="preserve"> and </w:t>
      </w:r>
      <w:r>
        <w:rPr>
          <w:rFonts w:ascii="Arial" w:hAnsi="Arial" w:cs="Arial"/>
          <w:sz w:val="18"/>
          <w:szCs w:val="18"/>
          <w:u w:val="single"/>
        </w:rPr>
        <w:t>microsoft.com/</w:t>
      </w:r>
      <w:proofErr w:type="spellStart"/>
      <w:r>
        <w:rPr>
          <w:rFonts w:ascii="Arial" w:hAnsi="Arial" w:cs="Arial"/>
          <w:sz w:val="18"/>
          <w:szCs w:val="18"/>
          <w:u w:val="single"/>
        </w:rPr>
        <w:t>csr</w:t>
      </w:r>
      <w:proofErr w:type="spellEnd"/>
      <w:r>
        <w:rPr>
          <w:rFonts w:ascii="Arial" w:hAnsi="Arial" w:cs="Arial"/>
          <w:sz w:val="18"/>
          <w:szCs w:val="18"/>
        </w:rPr>
        <w:t xml:space="preserve">. </w:t>
      </w:r>
    </w:p>
    <w:p w14:paraId="01596D1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Proxy Statement describes Microsoft’s corporate governance policies and practices that foster the Board’s effective oversight of the Company’s business strategies and practices. A key component to our effective governance is the Board’s commitment to provide oversight and perspectives reflecting a diversity of independent views. </w:t>
      </w:r>
    </w:p>
    <w:p w14:paraId="5EB9AC7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year’s Board nominees represent a wide range of backgrounds and expertise. We believe our diversity of experiences, perspectives, and skills contributes to the Board’s effectiveness in managing risk and providing guidance that positions Microsoft for long-term success in a dynamically changing business environment. Of the 12 Board nominees, 11 are independent, which includes Sandra Peterson as Lead Independent Director and all committee chairs and members. We are pleased to announce the nominations of Catherine MacGregor and Mark Mason for election to the Board at our December 7, 2023 Annual Meeting. Ms. MacGregor is Group CEO of Engie S.A. (“Engie”) and a member of the Engie board. She is an accomplished leader in the energy business and will bring significant insights and global experience to Microsoft. Mr. Mason is CFO of Citigroup Inc. He brings strategic and operational experience and a deep understanding of how commerce is changing globally. </w:t>
      </w:r>
    </w:p>
    <w:p w14:paraId="14195CA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addition, two members of the Board have decided not to seek re-election and will end their Board service in December: Padmasree Warrior and John Thompson. Ms. Warrior served on the Board and on the Compensation Committee for nearly eight years and has contributed valuable insights and perspectives in those roles. During his eleven-year tenure, Mr. Thompson served as both Board Chair and Lead Independent Director, led the CEO search and succession process from Steve Ballmer to Satya Nadella, and chaired the Governance and Nominating Committee during a fruitful period of Board refreshment and diversification. We thank them for </w:t>
      </w:r>
      <w:proofErr w:type="gramStart"/>
      <w:r>
        <w:rPr>
          <w:rFonts w:ascii="Arial" w:hAnsi="Arial" w:cs="Arial"/>
          <w:sz w:val="18"/>
          <w:szCs w:val="18"/>
        </w:rPr>
        <w:t>their many</w:t>
      </w:r>
      <w:proofErr w:type="gramEnd"/>
      <w:r>
        <w:rPr>
          <w:rFonts w:ascii="Arial" w:hAnsi="Arial" w:cs="Arial"/>
          <w:sz w:val="18"/>
          <w:szCs w:val="18"/>
        </w:rPr>
        <w:t xml:space="preserve"> contributions. </w:t>
      </w:r>
    </w:p>
    <w:p w14:paraId="2C03F2F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Proxy Statement also includes information about all of the management and shareholder </w:t>
      </w:r>
      <w:proofErr w:type="gramStart"/>
      <w:r>
        <w:rPr>
          <w:rFonts w:ascii="Arial" w:hAnsi="Arial" w:cs="Arial"/>
          <w:sz w:val="18"/>
          <w:szCs w:val="18"/>
        </w:rPr>
        <w:t>proposals up</w:t>
      </w:r>
      <w:proofErr w:type="gramEnd"/>
      <w:r>
        <w:rPr>
          <w:rFonts w:ascii="Arial" w:hAnsi="Arial" w:cs="Arial"/>
          <w:sz w:val="18"/>
          <w:szCs w:val="18"/>
        </w:rPr>
        <w:t xml:space="preserve"> for a vote at the Company’s Annual Meeting. We value your vote and we encourage you to use one of the options laid out in this proxy to vote your shares whether or not you plan to join us for the Annual Meeting. As we look ahead, we continue to see tremendous opportunities for the Company’s business and shareholder value creation, with the ability to deliver positive impacts at a global scale. We appreciate your investment in Microsoft and thank you for the trust you place in us and the opportunity to serve you and our Company as directors. </w:t>
      </w:r>
    </w:p>
    <w:p w14:paraId="2E8CE37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Sincerely, </w:t>
      </w:r>
    </w:p>
    <w:p w14:paraId="6DFE4D9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Your Board of Directors </w:t>
      </w:r>
    </w:p>
    <w:p w14:paraId="3A47E9E8" w14:textId="77777777" w:rsidR="00306F7C" w:rsidRDefault="00306F7C">
      <w:pPr>
        <w:pStyle w:val="NormalWeb"/>
        <w:spacing w:before="180" w:beforeAutospacing="0" w:after="0" w:afterAutospacing="0"/>
        <w:sectPr w:rsidR="00306F7C" w:rsidSect="00FE0A0A">
          <w:footerReference w:type="even" r:id="rId14"/>
          <w:pgSz w:w="12240" w:h="15840"/>
          <w:pgMar w:top="720" w:right="720" w:bottom="720" w:left="720" w:header="720" w:footer="720" w:gutter="0"/>
          <w:cols w:space="720"/>
          <w:docGrid w:linePitch="326"/>
        </w:sectPr>
      </w:pPr>
    </w:p>
    <w:p w14:paraId="4FF3E7D5" w14:textId="349202E5" w:rsidR="00D246A9" w:rsidRDefault="00F81E28">
      <w:pPr>
        <w:pStyle w:val="NormalWeb"/>
        <w:spacing w:before="180" w:beforeAutospacing="0" w:after="0" w:afterAutospacing="0"/>
        <w:rPr>
          <w:sz w:val="2"/>
          <w:szCs w:val="2"/>
        </w:rPr>
      </w:pPr>
      <w:r>
        <w:rPr>
          <w:noProof/>
          <w:sz w:val="2"/>
          <w:szCs w:val="2"/>
        </w:rPr>
        <w:lastRenderedPageBreak/>
        <mc:AlternateContent>
          <mc:Choice Requires="wps">
            <w:drawing>
              <wp:anchor distT="0" distB="0" distL="114300" distR="114300" simplePos="0" relativeHeight="251656189" behindDoc="1" locked="0" layoutInCell="1" allowOverlap="1" wp14:anchorId="6A14F9D6" wp14:editId="361ED7B9">
                <wp:simplePos x="0" y="0"/>
                <wp:positionH relativeFrom="column">
                  <wp:posOffset>-163459</wp:posOffset>
                </wp:positionH>
                <wp:positionV relativeFrom="paragraph">
                  <wp:posOffset>18415</wp:posOffset>
                </wp:positionV>
                <wp:extent cx="7092542" cy="8657590"/>
                <wp:effectExtent l="19050" t="19050" r="13335" b="10160"/>
                <wp:wrapNone/>
                <wp:docPr id="1144792887" name="Rectangle 11447928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542" cy="8657590"/>
                        </a:xfrm>
                        <a:prstGeom prst="rect">
                          <a:avLst/>
                        </a:prstGeom>
                        <a:solidFill>
                          <a:srgbClr val="FFFFFF"/>
                        </a:solidFill>
                        <a:ln w="28575">
                          <a:solidFill>
                            <a:srgbClr val="0075C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F1217" id="Rectangle 1144792887" o:spid="_x0000_s1026" alt="&quot;&quot;" style="position:absolute;margin-left:-12.85pt;margin-top:1.45pt;width:558.45pt;height:681.7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" strokecolor="#0075c9" strokeweight="2.25pt"/>
            </w:pict>
          </mc:Fallback>
        </mc:AlternateContent>
      </w:r>
      <w:r w:rsidR="00D246A9">
        <w:rPr>
          <w:sz w:val="2"/>
          <w:szCs w:val="2"/>
        </w:rPr>
        <w:t> </w:t>
      </w:r>
    </w:p>
    <w:p w14:paraId="5B11BCF4" w14:textId="77777777" w:rsidR="00D246A9" w:rsidRDefault="00D246A9">
      <w:pPr>
        <w:pStyle w:val="NormalWeb"/>
        <w:keepNext/>
        <w:spacing w:before="0" w:beforeAutospacing="0" w:after="0" w:afterAutospacing="0"/>
      </w:pPr>
      <w:r>
        <w:t> </w:t>
      </w:r>
    </w:p>
    <w:p w14:paraId="528AD008" w14:textId="77777777" w:rsidR="00D246A9" w:rsidRDefault="00D246A9">
      <w:pPr>
        <w:pStyle w:val="NormalWeb"/>
        <w:keepNext/>
        <w:spacing w:before="0" w:beforeAutospacing="0" w:after="0" w:afterAutospacing="0"/>
      </w:pPr>
      <w:r>
        <w:t> </w:t>
      </w:r>
    </w:p>
    <w:p w14:paraId="325B9242" w14:textId="77777777" w:rsidR="00D246A9" w:rsidRDefault="00D246A9">
      <w:pPr>
        <w:pStyle w:val="NormalWeb"/>
        <w:keepNext/>
        <w:spacing w:before="0" w:beforeAutospacing="0" w:after="0" w:afterAutospacing="0"/>
        <w:rPr>
          <w:sz w:val="2"/>
          <w:szCs w:val="2"/>
        </w:rPr>
      </w:pPr>
      <w:r>
        <w:rPr>
          <w:sz w:val="2"/>
          <w:szCs w:val="2"/>
        </w:rPr>
        <w:t> </w:t>
      </w:r>
    </w:p>
    <w:p w14:paraId="7E06AF29" w14:textId="7A492C58" w:rsidR="00D246A9" w:rsidRDefault="009673F6">
      <w:pPr>
        <w:pStyle w:val="NormalWeb"/>
        <w:spacing w:before="0" w:beforeAutospacing="0" w:after="0" w:afterAutospacing="0"/>
      </w:pPr>
      <w:r>
        <w:rPr>
          <w:noProof/>
        </w:rPr>
        <w:drawing>
          <wp:inline distT="0" distB="0" distL="0" distR="0" wp14:anchorId="643729C5" wp14:editId="543783A1">
            <wp:extent cx="1828800" cy="381000"/>
            <wp:effectExtent l="0" t="0" r="0" b="0"/>
            <wp:docPr id="10361893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8937" name="Picture 14">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828800" cy="381000"/>
                    </a:xfrm>
                    <a:prstGeom prst="rect">
                      <a:avLst/>
                    </a:prstGeom>
                  </pic:spPr>
                </pic:pic>
              </a:graphicData>
            </a:graphic>
          </wp:inline>
        </w:drawing>
      </w:r>
    </w:p>
    <w:p w14:paraId="617AB925" w14:textId="77777777" w:rsidR="00D246A9" w:rsidRDefault="00D246A9">
      <w:pPr>
        <w:pStyle w:val="NormalWeb"/>
        <w:keepNext/>
        <w:spacing w:before="0" w:beforeAutospacing="0" w:after="0" w:afterAutospacing="0"/>
      </w:pPr>
      <w:r>
        <w:t> </w:t>
      </w:r>
    </w:p>
    <w:p w14:paraId="3C1DA705" w14:textId="77777777" w:rsidR="00D246A9" w:rsidRDefault="00D246A9">
      <w:pPr>
        <w:pStyle w:val="NormalWeb"/>
        <w:keepNext/>
        <w:spacing w:before="0" w:beforeAutospacing="0" w:after="0" w:afterAutospacing="0"/>
        <w:rPr>
          <w:sz w:val="48"/>
          <w:szCs w:val="48"/>
        </w:rPr>
      </w:pPr>
      <w:r>
        <w:rPr>
          <w:sz w:val="48"/>
          <w:szCs w:val="48"/>
        </w:rPr>
        <w:t> </w:t>
      </w:r>
    </w:p>
    <w:p w14:paraId="589D37D7" w14:textId="77777777" w:rsidR="00D246A9" w:rsidRDefault="00D246A9">
      <w:pPr>
        <w:pStyle w:val="NormalWeb"/>
        <w:spacing w:before="240" w:beforeAutospacing="0" w:after="0" w:afterAutospacing="0"/>
        <w:rPr>
          <w:rFonts w:ascii="Arial" w:hAnsi="Arial" w:cs="Arial"/>
          <w:sz w:val="50"/>
          <w:szCs w:val="50"/>
        </w:rPr>
      </w:pPr>
      <w:r>
        <w:rPr>
          <w:rFonts w:ascii="Arial" w:hAnsi="Arial" w:cs="Arial"/>
          <w:b/>
          <w:bCs/>
          <w:sz w:val="50"/>
          <w:szCs w:val="50"/>
        </w:rPr>
        <w:t xml:space="preserve">Notice of 2023 Annual Shareholders Meeting </w:t>
      </w:r>
    </w:p>
    <w:p w14:paraId="227428D2"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600" w:firstRow="0" w:lastRow="0" w:firstColumn="0" w:lastColumn="0" w:noHBand="1" w:noVBand="1"/>
      </w:tblPr>
      <w:tblGrid>
        <w:gridCol w:w="2160"/>
        <w:gridCol w:w="8424"/>
      </w:tblGrid>
      <w:tr w:rsidR="00BE6465" w14:paraId="3C65155B" w14:textId="77777777" w:rsidTr="00853A9D">
        <w:trPr>
          <w:cantSplit/>
          <w:jc w:val="center"/>
        </w:trPr>
        <w:tc>
          <w:tcPr>
            <w:tcW w:w="2160" w:type="dxa"/>
            <w:noWrap/>
            <w:tcMar>
              <w:top w:w="0" w:type="dxa"/>
              <w:left w:w="144" w:type="dxa"/>
              <w:bottom w:w="0" w:type="dxa"/>
              <w:right w:w="0" w:type="dxa"/>
            </w:tcMar>
            <w:hideMark/>
          </w:tcPr>
          <w:p w14:paraId="6F62E250" w14:textId="77777777" w:rsidR="00BE6465" w:rsidRDefault="00BE6465" w:rsidP="007851DF">
            <w:pPr>
              <w:spacing w:after="80"/>
              <w:rPr>
                <w:rFonts w:ascii="Arial" w:hAnsi="Arial" w:cs="Arial"/>
                <w:sz w:val="18"/>
                <w:szCs w:val="18"/>
              </w:rPr>
            </w:pPr>
            <w:r>
              <w:rPr>
                <w:rFonts w:ascii="Arial" w:hAnsi="Arial" w:cs="Arial"/>
                <w:b/>
                <w:bCs/>
                <w:color w:val="0075C9"/>
                <w:sz w:val="18"/>
                <w:szCs w:val="18"/>
              </w:rPr>
              <w:t>Date</w:t>
            </w:r>
          </w:p>
        </w:tc>
        <w:tc>
          <w:tcPr>
            <w:tcW w:w="8424" w:type="dxa"/>
            <w:hideMark/>
          </w:tcPr>
          <w:p w14:paraId="39819CB1" w14:textId="77777777" w:rsidR="00BE6465" w:rsidRDefault="00BE6465" w:rsidP="007851DF">
            <w:pPr>
              <w:spacing w:after="80"/>
              <w:rPr>
                <w:rFonts w:ascii="Arial" w:hAnsi="Arial" w:cs="Arial"/>
                <w:sz w:val="18"/>
                <w:szCs w:val="18"/>
              </w:rPr>
            </w:pPr>
            <w:r>
              <w:rPr>
                <w:rFonts w:ascii="Arial" w:hAnsi="Arial" w:cs="Arial"/>
                <w:sz w:val="18"/>
                <w:szCs w:val="18"/>
              </w:rPr>
              <w:t>December 7, 2023</w:t>
            </w:r>
          </w:p>
        </w:tc>
      </w:tr>
      <w:tr w:rsidR="00BE6465" w14:paraId="74FC3032" w14:textId="77777777" w:rsidTr="00853A9D">
        <w:trPr>
          <w:cantSplit/>
          <w:jc w:val="center"/>
        </w:trPr>
        <w:tc>
          <w:tcPr>
            <w:tcW w:w="2160" w:type="dxa"/>
            <w:noWrap/>
            <w:tcMar>
              <w:top w:w="0" w:type="dxa"/>
              <w:left w:w="144" w:type="dxa"/>
              <w:bottom w:w="0" w:type="dxa"/>
              <w:right w:w="0" w:type="dxa"/>
            </w:tcMar>
            <w:hideMark/>
          </w:tcPr>
          <w:p w14:paraId="296CC7D4" w14:textId="77777777" w:rsidR="00BE6465" w:rsidRDefault="00BE6465" w:rsidP="007851DF">
            <w:pPr>
              <w:spacing w:after="80"/>
              <w:rPr>
                <w:rFonts w:ascii="Arial" w:hAnsi="Arial" w:cs="Arial"/>
                <w:sz w:val="18"/>
                <w:szCs w:val="18"/>
              </w:rPr>
            </w:pPr>
            <w:r>
              <w:rPr>
                <w:rFonts w:ascii="Arial" w:hAnsi="Arial" w:cs="Arial"/>
                <w:b/>
                <w:bCs/>
                <w:color w:val="0075C9"/>
                <w:sz w:val="18"/>
                <w:szCs w:val="18"/>
              </w:rPr>
              <w:t>Time</w:t>
            </w:r>
          </w:p>
        </w:tc>
        <w:tc>
          <w:tcPr>
            <w:tcW w:w="8424" w:type="dxa"/>
            <w:vAlign w:val="bottom"/>
            <w:hideMark/>
          </w:tcPr>
          <w:p w14:paraId="63815DE6" w14:textId="77777777" w:rsidR="00BE6465" w:rsidRDefault="00BE6465" w:rsidP="007851DF">
            <w:pPr>
              <w:spacing w:after="80"/>
              <w:rPr>
                <w:rFonts w:ascii="Arial" w:hAnsi="Arial" w:cs="Arial"/>
                <w:sz w:val="18"/>
                <w:szCs w:val="18"/>
              </w:rPr>
            </w:pPr>
            <w:r>
              <w:rPr>
                <w:rFonts w:ascii="Arial" w:hAnsi="Arial" w:cs="Arial"/>
                <w:sz w:val="18"/>
                <w:szCs w:val="18"/>
              </w:rPr>
              <w:t>8:30 a.m. Pacific Time</w:t>
            </w:r>
          </w:p>
        </w:tc>
      </w:tr>
      <w:tr w:rsidR="00BE6465" w14:paraId="2834610D" w14:textId="77777777" w:rsidTr="00853A9D">
        <w:trPr>
          <w:cantSplit/>
          <w:jc w:val="center"/>
        </w:trPr>
        <w:tc>
          <w:tcPr>
            <w:tcW w:w="2160" w:type="dxa"/>
            <w:noWrap/>
            <w:tcMar>
              <w:top w:w="0" w:type="dxa"/>
              <w:left w:w="144" w:type="dxa"/>
              <w:bottom w:w="0" w:type="dxa"/>
              <w:right w:w="0" w:type="dxa"/>
            </w:tcMar>
            <w:hideMark/>
          </w:tcPr>
          <w:p w14:paraId="3352EE7D" w14:textId="77777777" w:rsidR="00BE6465" w:rsidRDefault="00BE6465" w:rsidP="007851DF">
            <w:pPr>
              <w:spacing w:after="80"/>
              <w:rPr>
                <w:rFonts w:ascii="Arial" w:hAnsi="Arial" w:cs="Arial"/>
                <w:sz w:val="18"/>
                <w:szCs w:val="18"/>
              </w:rPr>
            </w:pPr>
            <w:r>
              <w:rPr>
                <w:rFonts w:ascii="Arial" w:hAnsi="Arial" w:cs="Arial"/>
                <w:b/>
                <w:bCs/>
                <w:color w:val="0075C9"/>
                <w:sz w:val="18"/>
                <w:szCs w:val="18"/>
              </w:rPr>
              <w:t>Virtual Meeting</w:t>
            </w:r>
          </w:p>
        </w:tc>
        <w:tc>
          <w:tcPr>
            <w:tcW w:w="8424" w:type="dxa"/>
            <w:vAlign w:val="bottom"/>
            <w:hideMark/>
          </w:tcPr>
          <w:p w14:paraId="398115F6" w14:textId="77777777" w:rsidR="00BE6465" w:rsidRDefault="00BE6465" w:rsidP="007851DF">
            <w:pPr>
              <w:spacing w:after="80"/>
              <w:rPr>
                <w:rFonts w:ascii="Arial" w:hAnsi="Arial" w:cs="Arial"/>
                <w:sz w:val="18"/>
                <w:szCs w:val="18"/>
              </w:rPr>
            </w:pPr>
            <w:r>
              <w:rPr>
                <w:rFonts w:ascii="Arial" w:hAnsi="Arial" w:cs="Arial"/>
                <w:color w:val="0075C9"/>
                <w:sz w:val="18"/>
                <w:szCs w:val="18"/>
              </w:rPr>
              <w:t xml:space="preserve">This year’s meeting is a </w:t>
            </w:r>
            <w:proofErr w:type="gramStart"/>
            <w:r>
              <w:rPr>
                <w:rFonts w:ascii="Arial" w:hAnsi="Arial" w:cs="Arial"/>
                <w:color w:val="0075C9"/>
                <w:sz w:val="18"/>
                <w:szCs w:val="18"/>
              </w:rPr>
              <w:t>virtual shareholders</w:t>
            </w:r>
            <w:proofErr w:type="gramEnd"/>
            <w:r>
              <w:rPr>
                <w:rFonts w:ascii="Arial" w:hAnsi="Arial" w:cs="Arial"/>
                <w:color w:val="0075C9"/>
                <w:sz w:val="18"/>
                <w:szCs w:val="18"/>
              </w:rPr>
              <w:t xml:space="preserve"> meeting at </w:t>
            </w:r>
            <w:r>
              <w:rPr>
                <w:rFonts w:ascii="Arial" w:hAnsi="Arial" w:cs="Arial"/>
                <w:color w:val="0075C9"/>
                <w:sz w:val="18"/>
                <w:szCs w:val="18"/>
                <w:u w:val="single"/>
              </w:rPr>
              <w:t>virtualshareholdermeeting.com/MSFT23</w:t>
            </w:r>
          </w:p>
        </w:tc>
      </w:tr>
      <w:tr w:rsidR="00BE6465" w14:paraId="7A0824E1" w14:textId="77777777" w:rsidTr="00853A9D">
        <w:trPr>
          <w:cantSplit/>
          <w:jc w:val="center"/>
        </w:trPr>
        <w:tc>
          <w:tcPr>
            <w:tcW w:w="2160" w:type="dxa"/>
            <w:noWrap/>
            <w:tcMar>
              <w:top w:w="0" w:type="dxa"/>
              <w:left w:w="144" w:type="dxa"/>
              <w:bottom w:w="0" w:type="dxa"/>
              <w:right w:w="0" w:type="dxa"/>
            </w:tcMar>
            <w:hideMark/>
          </w:tcPr>
          <w:p w14:paraId="3D07CAEC" w14:textId="77777777" w:rsidR="00BE6465" w:rsidRDefault="00BE6465" w:rsidP="007851DF">
            <w:pPr>
              <w:spacing w:after="80"/>
              <w:rPr>
                <w:rFonts w:ascii="Arial" w:hAnsi="Arial" w:cs="Arial"/>
                <w:sz w:val="18"/>
                <w:szCs w:val="18"/>
              </w:rPr>
            </w:pPr>
            <w:r>
              <w:rPr>
                <w:rFonts w:ascii="Arial" w:hAnsi="Arial" w:cs="Arial"/>
                <w:b/>
                <w:bCs/>
                <w:color w:val="0075C9"/>
                <w:sz w:val="18"/>
                <w:szCs w:val="18"/>
              </w:rPr>
              <w:t>Record Date</w:t>
            </w:r>
          </w:p>
        </w:tc>
        <w:tc>
          <w:tcPr>
            <w:tcW w:w="8424" w:type="dxa"/>
            <w:vAlign w:val="bottom"/>
            <w:hideMark/>
          </w:tcPr>
          <w:p w14:paraId="04CE510D" w14:textId="77777777" w:rsidR="00BE6465" w:rsidRDefault="00BE6465" w:rsidP="007851DF">
            <w:pPr>
              <w:spacing w:after="80"/>
              <w:rPr>
                <w:rFonts w:ascii="Arial" w:hAnsi="Arial" w:cs="Arial"/>
                <w:sz w:val="18"/>
                <w:szCs w:val="18"/>
              </w:rPr>
            </w:pPr>
            <w:r>
              <w:rPr>
                <w:rFonts w:ascii="Arial" w:hAnsi="Arial" w:cs="Arial"/>
                <w:sz w:val="18"/>
                <w:szCs w:val="18"/>
              </w:rPr>
              <w:t>September 29, 2023. Only shareholders of record at the close of business on the record date are entitled to receive notice of, and to vote at, the Annual Meeting.</w:t>
            </w:r>
          </w:p>
        </w:tc>
      </w:tr>
      <w:tr w:rsidR="00BE6465" w14:paraId="42DA3818" w14:textId="77777777" w:rsidTr="00853A9D">
        <w:trPr>
          <w:cantSplit/>
          <w:jc w:val="center"/>
        </w:trPr>
        <w:tc>
          <w:tcPr>
            <w:tcW w:w="2160" w:type="dxa"/>
            <w:noWrap/>
            <w:tcMar>
              <w:top w:w="0" w:type="dxa"/>
              <w:left w:w="144" w:type="dxa"/>
              <w:bottom w:w="0" w:type="dxa"/>
              <w:right w:w="0" w:type="dxa"/>
            </w:tcMar>
            <w:hideMark/>
          </w:tcPr>
          <w:p w14:paraId="09777D8C" w14:textId="77777777" w:rsidR="00BE6465" w:rsidRDefault="00BE6465" w:rsidP="007851DF">
            <w:pPr>
              <w:spacing w:after="80"/>
              <w:rPr>
                <w:rFonts w:ascii="Arial" w:hAnsi="Arial" w:cs="Arial"/>
                <w:sz w:val="18"/>
                <w:szCs w:val="18"/>
              </w:rPr>
            </w:pPr>
            <w:r>
              <w:rPr>
                <w:rFonts w:ascii="Arial" w:hAnsi="Arial" w:cs="Arial"/>
                <w:b/>
                <w:bCs/>
                <w:color w:val="0075C9"/>
                <w:sz w:val="18"/>
                <w:szCs w:val="18"/>
              </w:rPr>
              <w:t>Proxy Voting</w:t>
            </w:r>
          </w:p>
        </w:tc>
        <w:tc>
          <w:tcPr>
            <w:tcW w:w="8424" w:type="dxa"/>
            <w:vAlign w:val="bottom"/>
            <w:hideMark/>
          </w:tcPr>
          <w:p w14:paraId="62466D41" w14:textId="77777777" w:rsidR="00BE6465" w:rsidRDefault="00BE6465" w:rsidP="007851DF">
            <w:pPr>
              <w:pStyle w:val="NormalWeb"/>
              <w:keepNext/>
              <w:spacing w:before="0" w:beforeAutospacing="0" w:after="80" w:afterAutospacing="0"/>
              <w:rPr>
                <w:rFonts w:ascii="Arial" w:hAnsi="Arial" w:cs="Arial"/>
                <w:sz w:val="18"/>
                <w:szCs w:val="18"/>
              </w:rPr>
            </w:pPr>
            <w:r>
              <w:rPr>
                <w:rFonts w:ascii="Arial" w:hAnsi="Arial" w:cs="Arial"/>
                <w:b/>
                <w:bCs/>
                <w:sz w:val="18"/>
                <w:szCs w:val="18"/>
              </w:rPr>
              <w:t>Make your vote count.</w:t>
            </w:r>
            <w:r>
              <w:rPr>
                <w:rFonts w:ascii="Arial" w:hAnsi="Arial" w:cs="Arial"/>
                <w:sz w:val="18"/>
                <w:szCs w:val="18"/>
              </w:rPr>
              <w:t xml:space="preserve"> Please vote your shares promptly to ensure the presence of a quorum during the Annual Meeting. Voting your shares now via the Internet, by telephone, or by signing, dating, and returning the enclosed proxy card or voting instruction form will save the expense of additional solicitation. If you wish to vote by mail, we have enclosed an addressed envelope with postage prepaid if mailed in the United States. Submitting your proxy now will not prevent you from voting your shares during the Annual Meeting, as your proxy is revocable at your option. We are requesting your vote to:</w:t>
            </w:r>
          </w:p>
        </w:tc>
      </w:tr>
      <w:tr w:rsidR="00BE6465" w14:paraId="7778F2AB" w14:textId="77777777" w:rsidTr="00853A9D">
        <w:trPr>
          <w:cantSplit/>
          <w:jc w:val="center"/>
        </w:trPr>
        <w:tc>
          <w:tcPr>
            <w:tcW w:w="2160" w:type="dxa"/>
            <w:noWrap/>
            <w:tcMar>
              <w:top w:w="0" w:type="dxa"/>
              <w:left w:w="144" w:type="dxa"/>
              <w:bottom w:w="0" w:type="dxa"/>
              <w:right w:w="0" w:type="dxa"/>
            </w:tcMar>
            <w:hideMark/>
          </w:tcPr>
          <w:p w14:paraId="3886A8DA" w14:textId="77777777" w:rsidR="00BE6465" w:rsidRDefault="00BE6465">
            <w:pPr>
              <w:rPr>
                <w:rFonts w:ascii="Arial" w:hAnsi="Arial" w:cs="Arial"/>
                <w:sz w:val="18"/>
                <w:szCs w:val="18"/>
              </w:rPr>
            </w:pPr>
            <w:r>
              <w:rPr>
                <w:rFonts w:ascii="Arial" w:hAnsi="Arial" w:cs="Arial"/>
                <w:b/>
                <w:bCs/>
                <w:color w:val="0075C9"/>
                <w:sz w:val="18"/>
                <w:szCs w:val="18"/>
              </w:rPr>
              <w:t>Items of</w:t>
            </w:r>
          </w:p>
          <w:p w14:paraId="21089355" w14:textId="77777777" w:rsidR="00BE6465" w:rsidRPr="00306F7C" w:rsidRDefault="00BE6465">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Business</w:t>
            </w:r>
          </w:p>
        </w:tc>
        <w:tc>
          <w:tcPr>
            <w:tcW w:w="8424" w:type="dxa"/>
            <w:vAlign w:val="bottom"/>
            <w:hideMark/>
          </w:tcPr>
          <w:p w14:paraId="2B7CACC2" w14:textId="77777777" w:rsidR="00BE6465" w:rsidRDefault="00BE6465">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Elect the 12 director nominees named in this Proxy Statement</w:t>
            </w:r>
          </w:p>
          <w:p w14:paraId="68FC55CE" w14:textId="77777777" w:rsidR="00BE6465" w:rsidRDefault="00BE6465">
            <w:pPr>
              <w:pStyle w:val="NormalWeb"/>
              <w:spacing w:before="0" w:beforeAutospacing="0" w:after="0" w:afterAutospacing="0"/>
              <w:rPr>
                <w:rFonts w:ascii="Arial" w:hAnsi="Arial" w:cs="Arial"/>
                <w:sz w:val="4"/>
                <w:szCs w:val="4"/>
              </w:rPr>
            </w:pPr>
            <w:r>
              <w:rPr>
                <w:rFonts w:ascii="Arial" w:hAnsi="Arial" w:cs="Arial"/>
                <w:sz w:val="4"/>
                <w:szCs w:val="4"/>
              </w:rPr>
              <w:t> </w:t>
            </w:r>
          </w:p>
          <w:p w14:paraId="3374BD0B" w14:textId="77777777" w:rsidR="00BE6465" w:rsidRDefault="00BE6465">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Approve, on a nonbinding advisory basis, the compensation paid to our named executive officers (“say-on-pay vote”)</w:t>
            </w:r>
          </w:p>
          <w:p w14:paraId="2085167B" w14:textId="77777777" w:rsidR="00BE6465" w:rsidRDefault="00BE6465">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Vote, on a non-binding advisory basis, on the frequency of holding the say-on-pay vote</w:t>
            </w:r>
          </w:p>
          <w:p w14:paraId="2CBC2B1A" w14:textId="77777777" w:rsidR="00BE6465" w:rsidRDefault="00BE6465">
            <w:pPr>
              <w:pStyle w:val="NormalWeb"/>
              <w:spacing w:before="0" w:beforeAutospacing="0" w:after="0" w:afterAutospacing="0"/>
              <w:rPr>
                <w:rFonts w:ascii="Arial" w:hAnsi="Arial" w:cs="Arial"/>
                <w:sz w:val="4"/>
                <w:szCs w:val="4"/>
              </w:rPr>
            </w:pPr>
            <w:r>
              <w:rPr>
                <w:rFonts w:ascii="Arial" w:hAnsi="Arial" w:cs="Arial"/>
                <w:sz w:val="4"/>
                <w:szCs w:val="4"/>
              </w:rPr>
              <w:t> </w:t>
            </w:r>
          </w:p>
          <w:p w14:paraId="49CE43AF" w14:textId="77777777" w:rsidR="00BE6465" w:rsidRDefault="00BE6465">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Ratify the selection of Deloitte &amp; Touche LLP as our independent auditor for fiscal year 2024</w:t>
            </w:r>
          </w:p>
          <w:p w14:paraId="0907761B" w14:textId="77777777" w:rsidR="00BE6465" w:rsidRDefault="00BE6465">
            <w:pPr>
              <w:pStyle w:val="NormalWeb"/>
              <w:spacing w:before="0" w:beforeAutospacing="0" w:after="0" w:afterAutospacing="0"/>
              <w:rPr>
                <w:rFonts w:ascii="Arial" w:hAnsi="Arial" w:cs="Arial"/>
                <w:sz w:val="4"/>
                <w:szCs w:val="4"/>
              </w:rPr>
            </w:pPr>
            <w:r>
              <w:rPr>
                <w:rFonts w:ascii="Arial" w:hAnsi="Arial" w:cs="Arial"/>
                <w:sz w:val="4"/>
                <w:szCs w:val="4"/>
              </w:rPr>
              <w:t> </w:t>
            </w:r>
          </w:p>
          <w:p w14:paraId="7E4AA200" w14:textId="77777777" w:rsidR="00BE6465" w:rsidRDefault="00BE6465">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Vote on 9 shareholder proposals, if properly presented at the Annual Meeting</w:t>
            </w:r>
          </w:p>
          <w:p w14:paraId="1035E30C" w14:textId="77777777" w:rsidR="00BE6465" w:rsidRDefault="00BE6465">
            <w:pPr>
              <w:pStyle w:val="NormalWeb"/>
              <w:spacing w:before="0" w:beforeAutospacing="0" w:after="0" w:afterAutospacing="0"/>
              <w:rPr>
                <w:rFonts w:ascii="Arial" w:hAnsi="Arial" w:cs="Arial"/>
                <w:sz w:val="4"/>
                <w:szCs w:val="4"/>
              </w:rPr>
            </w:pPr>
            <w:r>
              <w:rPr>
                <w:rFonts w:ascii="Arial" w:hAnsi="Arial" w:cs="Arial"/>
                <w:sz w:val="4"/>
                <w:szCs w:val="4"/>
              </w:rPr>
              <w:t> </w:t>
            </w:r>
          </w:p>
          <w:p w14:paraId="7E53FF60" w14:textId="77777777" w:rsidR="00BE6465" w:rsidRDefault="00BE6465" w:rsidP="007851DF">
            <w:pPr>
              <w:pStyle w:val="NormalWeb"/>
              <w:spacing w:before="0" w:beforeAutospacing="0" w:after="8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Transact other business that may properly come before the Annual Meeting</w:t>
            </w:r>
          </w:p>
        </w:tc>
      </w:tr>
      <w:tr w:rsidR="00BE6465" w14:paraId="54BAFC6D" w14:textId="77777777" w:rsidTr="00853A9D">
        <w:trPr>
          <w:cantSplit/>
          <w:jc w:val="center"/>
        </w:trPr>
        <w:tc>
          <w:tcPr>
            <w:tcW w:w="2160" w:type="dxa"/>
            <w:noWrap/>
            <w:tcMar>
              <w:top w:w="0" w:type="dxa"/>
              <w:left w:w="144" w:type="dxa"/>
              <w:bottom w:w="0" w:type="dxa"/>
              <w:right w:w="0" w:type="dxa"/>
            </w:tcMar>
            <w:hideMark/>
          </w:tcPr>
          <w:p w14:paraId="40924ED9" w14:textId="77777777" w:rsidR="00BE6465" w:rsidRDefault="00BE6465" w:rsidP="007851DF">
            <w:pPr>
              <w:spacing w:after="80"/>
              <w:rPr>
                <w:rFonts w:ascii="Arial" w:hAnsi="Arial" w:cs="Arial"/>
                <w:sz w:val="18"/>
                <w:szCs w:val="18"/>
              </w:rPr>
            </w:pPr>
            <w:r>
              <w:rPr>
                <w:rFonts w:ascii="Arial" w:hAnsi="Arial" w:cs="Arial"/>
                <w:b/>
                <w:bCs/>
                <w:color w:val="0075C9"/>
                <w:sz w:val="18"/>
                <w:szCs w:val="18"/>
              </w:rPr>
              <w:t>Address of Corporate</w:t>
            </w:r>
            <w:r>
              <w:rPr>
                <w:rFonts w:ascii="Arial" w:hAnsi="Arial" w:cs="Arial"/>
                <w:b/>
                <w:bCs/>
                <w:color w:val="0075C9"/>
                <w:sz w:val="18"/>
                <w:szCs w:val="18"/>
              </w:rPr>
              <w:br/>
              <w:t>Headquarters</w:t>
            </w:r>
          </w:p>
        </w:tc>
        <w:tc>
          <w:tcPr>
            <w:tcW w:w="8424" w:type="dxa"/>
            <w:hideMark/>
          </w:tcPr>
          <w:p w14:paraId="1BE9003E" w14:textId="77777777" w:rsidR="00BE6465" w:rsidRDefault="00BE6465" w:rsidP="007851DF">
            <w:pPr>
              <w:spacing w:after="80"/>
              <w:rPr>
                <w:rFonts w:ascii="Arial" w:hAnsi="Arial" w:cs="Arial"/>
                <w:sz w:val="18"/>
                <w:szCs w:val="18"/>
              </w:rPr>
            </w:pPr>
            <w:r>
              <w:rPr>
                <w:rFonts w:ascii="Arial" w:hAnsi="Arial" w:cs="Arial"/>
                <w:sz w:val="18"/>
                <w:szCs w:val="18"/>
              </w:rPr>
              <w:t>One Microsoft Way, Redmond, WA 98052</w:t>
            </w:r>
          </w:p>
        </w:tc>
      </w:tr>
      <w:tr w:rsidR="00BE6465" w14:paraId="4C55A8AB" w14:textId="77777777" w:rsidTr="00853A9D">
        <w:trPr>
          <w:cantSplit/>
          <w:jc w:val="center"/>
        </w:trPr>
        <w:tc>
          <w:tcPr>
            <w:tcW w:w="2160" w:type="dxa"/>
            <w:noWrap/>
            <w:tcMar>
              <w:top w:w="0" w:type="dxa"/>
              <w:left w:w="144" w:type="dxa"/>
              <w:bottom w:w="0" w:type="dxa"/>
              <w:right w:w="0" w:type="dxa"/>
            </w:tcMar>
            <w:hideMark/>
          </w:tcPr>
          <w:p w14:paraId="549D9DF8" w14:textId="77777777" w:rsidR="00BE6465" w:rsidRDefault="00BE6465">
            <w:pPr>
              <w:rPr>
                <w:rFonts w:ascii="Arial" w:hAnsi="Arial" w:cs="Arial"/>
                <w:sz w:val="18"/>
                <w:szCs w:val="18"/>
              </w:rPr>
            </w:pPr>
            <w:r>
              <w:rPr>
                <w:rFonts w:ascii="Arial" w:hAnsi="Arial" w:cs="Arial"/>
                <w:b/>
                <w:bCs/>
                <w:color w:val="0075C9"/>
                <w:sz w:val="18"/>
                <w:szCs w:val="18"/>
              </w:rPr>
              <w:t>Meeting Details</w:t>
            </w:r>
          </w:p>
        </w:tc>
        <w:tc>
          <w:tcPr>
            <w:tcW w:w="8424" w:type="dxa"/>
            <w:vAlign w:val="bottom"/>
            <w:hideMark/>
          </w:tcPr>
          <w:p w14:paraId="595FD405" w14:textId="77777777" w:rsidR="00BE6465" w:rsidRDefault="00BE6465">
            <w:pPr>
              <w:rPr>
                <w:rFonts w:ascii="Arial" w:hAnsi="Arial" w:cs="Arial"/>
                <w:sz w:val="18"/>
                <w:szCs w:val="18"/>
              </w:rPr>
            </w:pPr>
            <w:r>
              <w:rPr>
                <w:rFonts w:ascii="Arial" w:hAnsi="Arial" w:cs="Arial"/>
                <w:sz w:val="18"/>
                <w:szCs w:val="18"/>
              </w:rPr>
              <w:t>See Part 5 – Information About the Meeting for details.</w:t>
            </w:r>
          </w:p>
        </w:tc>
      </w:tr>
    </w:tbl>
    <w:p w14:paraId="0D3494B2" w14:textId="77777777" w:rsidR="00D246A9" w:rsidRPr="00306F7C" w:rsidRDefault="00D246A9">
      <w:pPr>
        <w:pStyle w:val="NormalWeb"/>
        <w:spacing w:before="240" w:beforeAutospacing="0" w:after="0" w:afterAutospacing="0"/>
        <w:rPr>
          <w:rFonts w:ascii="Arial" w:hAnsi="Arial" w:cs="Arial"/>
          <w:sz w:val="18"/>
          <w:szCs w:val="18"/>
        </w:rPr>
      </w:pPr>
      <w:r>
        <w:rPr>
          <w:rFonts w:ascii="Arial" w:hAnsi="Arial" w:cs="Arial"/>
          <w:b/>
          <w:bCs/>
          <w:color w:val="0075C9"/>
          <w:sz w:val="18"/>
          <w:szCs w:val="18"/>
        </w:rPr>
        <w:t>Important notice regarding the availability of proxy materials for the Annual Meeting to be held on December 7, 2023.</w:t>
      </w:r>
      <w:r>
        <w:rPr>
          <w:rFonts w:ascii="Arial" w:hAnsi="Arial" w:cs="Arial"/>
          <w:color w:val="0075C9"/>
          <w:sz w:val="18"/>
          <w:szCs w:val="18"/>
        </w:rPr>
        <w:t xml:space="preserve"> Our 2023 Proxy Statement and Annual Report to Shareholders are available at </w:t>
      </w:r>
      <w:r>
        <w:rPr>
          <w:rFonts w:ascii="Arial" w:hAnsi="Arial" w:cs="Arial"/>
          <w:color w:val="0075C9"/>
          <w:sz w:val="18"/>
          <w:szCs w:val="18"/>
          <w:u w:val="single"/>
        </w:rPr>
        <w:t>microsoft.com/investor</w:t>
      </w:r>
      <w:r>
        <w:rPr>
          <w:rFonts w:ascii="Arial" w:hAnsi="Arial" w:cs="Arial"/>
          <w:color w:val="0075C9"/>
          <w:sz w:val="18"/>
          <w:szCs w:val="18"/>
        </w:rPr>
        <w:t xml:space="preserve">. </w:t>
      </w:r>
    </w:p>
    <w:p w14:paraId="35392BB5" w14:textId="77777777" w:rsidR="00D246A9" w:rsidRDefault="00D246A9">
      <w:pPr>
        <w:pStyle w:val="NormalWeb"/>
        <w:spacing w:before="200" w:beforeAutospacing="0" w:after="0" w:afterAutospacing="0"/>
        <w:rPr>
          <w:rFonts w:ascii="Arial" w:hAnsi="Arial" w:cs="Arial"/>
          <w:sz w:val="18"/>
          <w:szCs w:val="18"/>
        </w:rPr>
      </w:pPr>
      <w:r>
        <w:rPr>
          <w:rFonts w:ascii="Arial" w:hAnsi="Arial" w:cs="Arial"/>
          <w:b/>
          <w:bCs/>
          <w:sz w:val="18"/>
          <w:szCs w:val="18"/>
        </w:rPr>
        <w:t xml:space="preserve">By Order of the Board of Directors </w:t>
      </w:r>
    </w:p>
    <w:p w14:paraId="6D4E9DB0" w14:textId="77777777" w:rsidR="00D246A9" w:rsidRDefault="00D246A9">
      <w:pPr>
        <w:pStyle w:val="NormalWeb"/>
        <w:keepNext/>
        <w:spacing w:before="0" w:beforeAutospacing="0" w:after="0" w:afterAutospacing="0"/>
      </w:pPr>
      <w:r>
        <w:t> </w:t>
      </w:r>
    </w:p>
    <w:p w14:paraId="7C044818" w14:textId="77777777" w:rsidR="00D246A9" w:rsidRDefault="00D246A9">
      <w:pPr>
        <w:pStyle w:val="NormalWeb"/>
        <w:keepNext/>
        <w:spacing w:before="0" w:beforeAutospacing="0" w:after="0" w:afterAutospacing="0"/>
        <w:rPr>
          <w:sz w:val="2"/>
          <w:szCs w:val="2"/>
        </w:rPr>
      </w:pPr>
      <w:r>
        <w:rPr>
          <w:sz w:val="2"/>
          <w:szCs w:val="2"/>
        </w:rPr>
        <w:t> </w:t>
      </w:r>
    </w:p>
    <w:p w14:paraId="4B4EB4EF" w14:textId="5790C266" w:rsidR="00D246A9" w:rsidRDefault="009673F6">
      <w:pPr>
        <w:pStyle w:val="NormalWeb"/>
        <w:spacing w:before="0" w:beforeAutospacing="0" w:after="0" w:afterAutospacing="0"/>
      </w:pPr>
      <w:r>
        <w:rPr>
          <w:noProof/>
        </w:rPr>
        <w:drawing>
          <wp:inline distT="0" distB="0" distL="0" distR="0" wp14:anchorId="677EA4D6" wp14:editId="329A62C7">
            <wp:extent cx="640080" cy="514007"/>
            <wp:effectExtent l="0" t="0" r="7620" b="635"/>
            <wp:docPr id="1249347202" name="Picture 15" descr="The signature of Keith R. Dolli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47202" name="Picture 15" descr="The signature of Keith R. Dolliver">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40080" cy="514007"/>
                    </a:xfrm>
                    <a:prstGeom prst="rect">
                      <a:avLst/>
                    </a:prstGeom>
                  </pic:spPr>
                </pic:pic>
              </a:graphicData>
            </a:graphic>
          </wp:inline>
        </w:drawing>
      </w:r>
    </w:p>
    <w:p w14:paraId="2580042D" w14:textId="77777777" w:rsidR="00D246A9" w:rsidRDefault="00D246A9">
      <w:pPr>
        <w:pStyle w:val="NormalWeb"/>
        <w:spacing w:before="60" w:beforeAutospacing="0" w:after="0" w:afterAutospacing="0"/>
        <w:rPr>
          <w:rFonts w:ascii="Arial" w:hAnsi="Arial" w:cs="Arial"/>
          <w:sz w:val="18"/>
          <w:szCs w:val="18"/>
        </w:rPr>
      </w:pPr>
      <w:r>
        <w:rPr>
          <w:rFonts w:ascii="Arial" w:hAnsi="Arial" w:cs="Arial"/>
          <w:b/>
          <w:bCs/>
          <w:color w:val="0075C9"/>
          <w:sz w:val="18"/>
          <w:szCs w:val="18"/>
        </w:rPr>
        <w:t xml:space="preserve">Keith R. Dolliver </w:t>
      </w:r>
    </w:p>
    <w:p w14:paraId="3B2CF389"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Secretary </w:t>
      </w:r>
    </w:p>
    <w:p w14:paraId="4687A9A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Redmond, Washington </w:t>
      </w:r>
    </w:p>
    <w:p w14:paraId="5D847888"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October 19, 2023 </w:t>
      </w:r>
    </w:p>
    <w:p w14:paraId="4990DF22" w14:textId="76689006" w:rsidR="00D246A9" w:rsidRPr="00306F7C" w:rsidRDefault="00D246A9" w:rsidP="00F81E28">
      <w:pPr>
        <w:pStyle w:val="NormalWeb"/>
        <w:spacing w:before="60" w:beforeAutospacing="0" w:after="0" w:afterAutospacing="0"/>
        <w:rPr>
          <w:sz w:val="2"/>
          <w:szCs w:val="2"/>
        </w:rPr>
      </w:pPr>
      <w:r>
        <w:br w:type="page"/>
      </w:r>
      <w:r w:rsidR="00F81E28">
        <w:rPr>
          <w:noProof/>
          <w:sz w:val="2"/>
          <w:szCs w:val="2"/>
        </w:rPr>
        <w:lastRenderedPageBreak/>
        <mc:AlternateContent>
          <mc:Choice Requires="wps">
            <w:drawing>
              <wp:anchor distT="0" distB="0" distL="114300" distR="114300" simplePos="0" relativeHeight="251660287" behindDoc="1" locked="0" layoutInCell="1" allowOverlap="1" wp14:anchorId="1F77739B" wp14:editId="1834C9FF">
                <wp:simplePos x="0" y="0"/>
                <wp:positionH relativeFrom="column">
                  <wp:posOffset>-161554</wp:posOffset>
                </wp:positionH>
                <wp:positionV relativeFrom="paragraph">
                  <wp:posOffset>-52070</wp:posOffset>
                </wp:positionV>
                <wp:extent cx="7092542" cy="8848905"/>
                <wp:effectExtent l="19050" t="19050" r="13335" b="28575"/>
                <wp:wrapNone/>
                <wp:docPr id="1913102475" name="Rectangle 1913102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542" cy="8848905"/>
                        </a:xfrm>
                        <a:prstGeom prst="rect">
                          <a:avLst/>
                        </a:prstGeom>
                        <a:solidFill>
                          <a:srgbClr val="FFFFFF"/>
                        </a:solidFill>
                        <a:ln w="28575">
                          <a:solidFill>
                            <a:srgbClr val="0075C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92CBB" id="Rectangle 1913102475" o:spid="_x0000_s1026" alt="&quot;&quot;" style="position:absolute;margin-left:-12.7pt;margin-top:-4.1pt;width:558.45pt;height:696.7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" strokecolor="#0075c9" strokeweight="2.25pt"/>
            </w:pict>
          </mc:Fallback>
        </mc:AlternateContent>
      </w:r>
      <w:r>
        <w:rPr>
          <w:sz w:val="2"/>
          <w:szCs w:val="2"/>
        </w:rPr>
        <w:t>  </w:t>
      </w:r>
    </w:p>
    <w:p w14:paraId="55CCE53B" w14:textId="73D2BB4E" w:rsidR="00D246A9" w:rsidRDefault="00D246A9">
      <w:pPr>
        <w:pStyle w:val="NormalWeb"/>
        <w:spacing w:before="0" w:beforeAutospacing="0" w:after="0" w:afterAutospacing="0"/>
        <w:rPr>
          <w:rFonts w:ascii="Arial" w:hAnsi="Arial" w:cs="Arial"/>
          <w:sz w:val="38"/>
          <w:szCs w:val="38"/>
        </w:rPr>
      </w:pPr>
      <w:bookmarkStart w:id="0" w:name="toc356108_1"/>
      <w:bookmarkEnd w:id="0"/>
      <w:r>
        <w:rPr>
          <w:rFonts w:ascii="Arial" w:hAnsi="Arial" w:cs="Arial"/>
          <w:b/>
          <w:bCs/>
          <w:sz w:val="38"/>
          <w:szCs w:val="38"/>
        </w:rPr>
        <w:t xml:space="preserve">Proxy Summary </w:t>
      </w:r>
    </w:p>
    <w:p w14:paraId="3082E605" w14:textId="77777777" w:rsidR="00D246A9" w:rsidRDefault="00D246A9" w:rsidP="00647B28">
      <w:pPr>
        <w:pStyle w:val="NormalWeb"/>
        <w:spacing w:before="160" w:beforeAutospacing="0" w:after="0" w:afterAutospacing="0"/>
        <w:rPr>
          <w:rFonts w:ascii="Arial" w:hAnsi="Arial" w:cs="Arial"/>
          <w:sz w:val="18"/>
          <w:szCs w:val="18"/>
        </w:rPr>
      </w:pPr>
      <w:r>
        <w:rPr>
          <w:rFonts w:ascii="Arial" w:hAnsi="Arial" w:cs="Arial"/>
          <w:sz w:val="18"/>
          <w:szCs w:val="18"/>
        </w:rPr>
        <w:t xml:space="preserve">This summary highlights information contained elsewhere in this Proxy Statement. This summary does not contain all information you should consider. Please read this entire Proxy Statement carefully before voting. </w:t>
      </w:r>
    </w:p>
    <w:p w14:paraId="28BF22A3" w14:textId="77777777" w:rsidR="00D246A9" w:rsidRDefault="00D246A9" w:rsidP="00647B28">
      <w:pPr>
        <w:pStyle w:val="NormalWeb"/>
        <w:spacing w:before="160" w:beforeAutospacing="0" w:after="0" w:afterAutospacing="0"/>
        <w:jc w:val="center"/>
        <w:rPr>
          <w:rFonts w:ascii="Arial" w:hAnsi="Arial" w:cs="Arial"/>
        </w:rPr>
      </w:pPr>
      <w:r>
        <w:rPr>
          <w:rFonts w:ascii="Arial" w:hAnsi="Arial" w:cs="Arial"/>
          <w:b/>
          <w:bCs/>
        </w:rPr>
        <w:t xml:space="preserve">Annual Shareholders Meeting </w:t>
      </w:r>
    </w:p>
    <w:p w14:paraId="47A0925E" w14:textId="77777777" w:rsidR="00D246A9" w:rsidRDefault="00D246A9" w:rsidP="00647B28">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600" w:firstRow="0" w:lastRow="0" w:firstColumn="0" w:lastColumn="0" w:noHBand="1" w:noVBand="1"/>
      </w:tblPr>
      <w:tblGrid>
        <w:gridCol w:w="3530"/>
        <w:gridCol w:w="3633"/>
        <w:gridCol w:w="3637"/>
      </w:tblGrid>
      <w:tr w:rsidR="00D246A9" w14:paraId="574EA112" w14:textId="77777777" w:rsidTr="00123C99">
        <w:trPr>
          <w:cantSplit/>
          <w:jc w:val="center"/>
        </w:trPr>
        <w:tc>
          <w:tcPr>
            <w:tcW w:w="3530" w:type="dxa"/>
            <w:vMerge w:val="restart"/>
            <w:hideMark/>
          </w:tcPr>
          <w:p w14:paraId="28D68732" w14:textId="77777777" w:rsidR="00D246A9" w:rsidRPr="00306F7C"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Date:</w:t>
            </w:r>
            <w:r>
              <w:rPr>
                <w:rFonts w:ascii="Arial" w:hAnsi="Arial" w:cs="Arial"/>
                <w:sz w:val="18"/>
                <w:szCs w:val="18"/>
              </w:rPr>
              <w:t xml:space="preserve"> December 7, 2023</w:t>
            </w:r>
          </w:p>
          <w:p w14:paraId="490D548B"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 </w:t>
            </w:r>
          </w:p>
          <w:p w14:paraId="1F7127FF"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Time:</w:t>
            </w:r>
            <w:r>
              <w:rPr>
                <w:rFonts w:ascii="Arial" w:hAnsi="Arial" w:cs="Arial"/>
                <w:sz w:val="18"/>
                <w:szCs w:val="18"/>
              </w:rPr>
              <w:t xml:space="preserve"> 8:30 a.m. Pacific Time</w:t>
            </w:r>
          </w:p>
          <w:p w14:paraId="531830C3"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 </w:t>
            </w:r>
          </w:p>
          <w:p w14:paraId="62137B7C"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Meeting Agenda:</w:t>
            </w:r>
          </w:p>
          <w:p w14:paraId="20752B4D"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The meeting will cover the proposals listed under Voting Matters and Vote Recommendations below, and any other business that may properly come before the meeting.</w:t>
            </w:r>
          </w:p>
          <w:p w14:paraId="4A0AE7FD" w14:textId="77777777" w:rsidR="00D246A9" w:rsidRDefault="00D246A9">
            <w:pPr>
              <w:pStyle w:val="NormalWeb"/>
              <w:spacing w:before="0" w:beforeAutospacing="0" w:after="20" w:afterAutospacing="0"/>
              <w:rPr>
                <w:rFonts w:ascii="Arial" w:hAnsi="Arial" w:cs="Arial"/>
              </w:rPr>
            </w:pPr>
            <w:r>
              <w:rPr>
                <w:rFonts w:ascii="Arial" w:hAnsi="Arial" w:cs="Arial"/>
              </w:rPr>
              <w:t> </w:t>
            </w:r>
          </w:p>
        </w:tc>
        <w:tc>
          <w:tcPr>
            <w:tcW w:w="7270" w:type="dxa"/>
            <w:gridSpan w:val="2"/>
            <w:hideMark/>
          </w:tcPr>
          <w:p w14:paraId="1F72A589" w14:textId="77777777" w:rsidR="00D246A9" w:rsidRDefault="00D246A9">
            <w:pPr>
              <w:pStyle w:val="NormalWeb"/>
              <w:spacing w:before="0" w:beforeAutospacing="0" w:after="0" w:afterAutospacing="0"/>
              <w:ind w:left="240"/>
              <w:rPr>
                <w:rFonts w:ascii="Arial" w:hAnsi="Arial" w:cs="Arial"/>
                <w:sz w:val="18"/>
                <w:szCs w:val="18"/>
              </w:rPr>
            </w:pPr>
            <w:r>
              <w:rPr>
                <w:rFonts w:ascii="Arial" w:hAnsi="Arial" w:cs="Arial"/>
                <w:b/>
                <w:bCs/>
                <w:sz w:val="18"/>
                <w:szCs w:val="18"/>
              </w:rPr>
              <w:t>Place:</w:t>
            </w:r>
            <w:r>
              <w:rPr>
                <w:rFonts w:ascii="Arial" w:hAnsi="Arial" w:cs="Arial"/>
                <w:sz w:val="18"/>
                <w:szCs w:val="18"/>
              </w:rPr>
              <w:t> </w:t>
            </w:r>
            <w:r>
              <w:rPr>
                <w:rFonts w:ascii="Arial" w:hAnsi="Arial" w:cs="Arial"/>
                <w:sz w:val="18"/>
                <w:szCs w:val="18"/>
                <w:u w:val="single"/>
              </w:rPr>
              <w:t>virtualshareholdermeeting.com/MSFT23</w:t>
            </w:r>
          </w:p>
          <w:p w14:paraId="0C453D55"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D246A9" w14:paraId="152C9D5B" w14:textId="77777777" w:rsidTr="00123C99">
        <w:trPr>
          <w:cantSplit/>
          <w:jc w:val="center"/>
        </w:trPr>
        <w:tc>
          <w:tcPr>
            <w:tcW w:w="3530" w:type="dxa"/>
            <w:vMerge/>
            <w:vAlign w:val="center"/>
            <w:hideMark/>
          </w:tcPr>
          <w:p w14:paraId="7E861C68" w14:textId="77777777" w:rsidR="00D246A9" w:rsidRPr="00306F7C" w:rsidRDefault="00D246A9">
            <w:pPr>
              <w:rPr>
                <w:rFonts w:ascii="Arial" w:hAnsi="Arial" w:cs="Arial"/>
                <w:szCs w:val="24"/>
              </w:rPr>
            </w:pPr>
          </w:p>
        </w:tc>
        <w:tc>
          <w:tcPr>
            <w:tcW w:w="3633" w:type="dxa"/>
            <w:hideMark/>
          </w:tcPr>
          <w:p w14:paraId="79FCBF0F" w14:textId="77777777" w:rsidR="00D246A9" w:rsidRDefault="00D246A9">
            <w:pPr>
              <w:pStyle w:val="NormalWeb"/>
              <w:spacing w:before="0" w:beforeAutospacing="0" w:after="0" w:afterAutospacing="0"/>
              <w:ind w:left="240"/>
              <w:rPr>
                <w:rFonts w:ascii="Arial" w:hAnsi="Arial" w:cs="Arial"/>
                <w:sz w:val="18"/>
                <w:szCs w:val="18"/>
              </w:rPr>
            </w:pPr>
            <w:r>
              <w:rPr>
                <w:rFonts w:ascii="Arial" w:hAnsi="Arial" w:cs="Arial"/>
                <w:b/>
                <w:bCs/>
                <w:sz w:val="18"/>
                <w:szCs w:val="18"/>
              </w:rPr>
              <w:t>Record Date:</w:t>
            </w:r>
            <w:r>
              <w:rPr>
                <w:rFonts w:ascii="Arial" w:hAnsi="Arial" w:cs="Arial"/>
                <w:sz w:val="18"/>
                <w:szCs w:val="18"/>
              </w:rPr>
              <w:t xml:space="preserve"> September 29, 2023</w:t>
            </w:r>
          </w:p>
          <w:p w14:paraId="703A9743"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 </w:t>
            </w:r>
          </w:p>
          <w:p w14:paraId="12C9C613" w14:textId="77777777" w:rsidR="00D246A9" w:rsidRDefault="00D246A9">
            <w:pPr>
              <w:pStyle w:val="NormalWeb"/>
              <w:keepNext/>
              <w:spacing w:before="0" w:beforeAutospacing="0" w:after="0" w:afterAutospacing="0"/>
              <w:ind w:left="240"/>
              <w:rPr>
                <w:rFonts w:ascii="Arial" w:hAnsi="Arial" w:cs="Arial"/>
                <w:sz w:val="18"/>
                <w:szCs w:val="18"/>
              </w:rPr>
            </w:pPr>
            <w:r>
              <w:rPr>
                <w:rFonts w:ascii="Arial" w:hAnsi="Arial" w:cs="Arial"/>
                <w:b/>
                <w:bCs/>
                <w:sz w:val="18"/>
                <w:szCs w:val="18"/>
              </w:rPr>
              <w:t>Mailing Date:</w:t>
            </w:r>
          </w:p>
          <w:p w14:paraId="61C08D8F" w14:textId="77777777" w:rsidR="00D246A9" w:rsidRDefault="00D246A9">
            <w:pPr>
              <w:pStyle w:val="NormalWeb"/>
              <w:spacing w:before="0" w:beforeAutospacing="0" w:after="20" w:afterAutospacing="0"/>
              <w:ind w:left="240"/>
              <w:rPr>
                <w:rFonts w:ascii="Arial" w:hAnsi="Arial" w:cs="Arial"/>
                <w:sz w:val="18"/>
                <w:szCs w:val="18"/>
              </w:rPr>
            </w:pPr>
            <w:r>
              <w:rPr>
                <w:rFonts w:ascii="Arial" w:hAnsi="Arial" w:cs="Arial"/>
                <w:sz w:val="18"/>
                <w:szCs w:val="18"/>
              </w:rPr>
              <w:t xml:space="preserve">This Proxy Statement was first mailed to shareholders on or about </w:t>
            </w:r>
            <w:r>
              <w:rPr>
                <w:rFonts w:ascii="Arial" w:hAnsi="Arial" w:cs="Arial"/>
                <w:sz w:val="18"/>
                <w:szCs w:val="18"/>
              </w:rPr>
              <w:br/>
              <w:t>October 24, 2023.</w:t>
            </w:r>
          </w:p>
        </w:tc>
        <w:tc>
          <w:tcPr>
            <w:tcW w:w="3637" w:type="dxa"/>
            <w:hideMark/>
          </w:tcPr>
          <w:p w14:paraId="33038BCE"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Voting:</w:t>
            </w:r>
          </w:p>
          <w:p w14:paraId="2A17240C"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Shareholders as of the record date are entitled to vote. Each share of common stock of Microsoft Corporation (“Company”) is entitled to one vote for each director nominee and one vote for each proposal.</w:t>
            </w:r>
          </w:p>
          <w:p w14:paraId="54CE9B67" w14:textId="77777777" w:rsidR="00D246A9" w:rsidRDefault="00D246A9">
            <w:pPr>
              <w:pStyle w:val="NormalWeb"/>
              <w:spacing w:before="0" w:beforeAutospacing="0" w:after="20" w:afterAutospacing="0"/>
              <w:rPr>
                <w:rFonts w:ascii="Arial" w:hAnsi="Arial" w:cs="Arial"/>
                <w:sz w:val="48"/>
                <w:szCs w:val="48"/>
              </w:rPr>
            </w:pPr>
            <w:r>
              <w:rPr>
                <w:rFonts w:ascii="Arial" w:hAnsi="Arial" w:cs="Arial"/>
                <w:sz w:val="48"/>
                <w:szCs w:val="48"/>
              </w:rPr>
              <w:t> </w:t>
            </w:r>
          </w:p>
        </w:tc>
      </w:tr>
    </w:tbl>
    <w:p w14:paraId="6B9D64DA" w14:textId="77777777" w:rsidR="00D246A9" w:rsidRPr="00306F7C" w:rsidRDefault="00D246A9" w:rsidP="00647B28">
      <w:pPr>
        <w:pStyle w:val="NormalWeb"/>
        <w:spacing w:before="160" w:beforeAutospacing="0" w:after="0" w:afterAutospacing="0"/>
        <w:jc w:val="center"/>
        <w:rPr>
          <w:rFonts w:ascii="Arial" w:hAnsi="Arial" w:cs="Arial"/>
        </w:rPr>
      </w:pPr>
      <w:r>
        <w:rPr>
          <w:rFonts w:ascii="Arial" w:hAnsi="Arial" w:cs="Arial"/>
          <w:b/>
          <w:bCs/>
        </w:rPr>
        <w:t xml:space="preserve">Vote in Advance of the Meeting </w:t>
      </w:r>
    </w:p>
    <w:p w14:paraId="1032F343" w14:textId="77777777" w:rsidR="00D246A9" w:rsidRDefault="00D246A9" w:rsidP="00647B28">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600" w:firstRow="0" w:lastRow="0" w:firstColumn="0" w:lastColumn="0" w:noHBand="1" w:noVBand="1"/>
      </w:tblPr>
      <w:tblGrid>
        <w:gridCol w:w="507"/>
        <w:gridCol w:w="10185"/>
      </w:tblGrid>
      <w:tr w:rsidR="00D246A9" w14:paraId="72653D96" w14:textId="77777777" w:rsidTr="00123C99">
        <w:trPr>
          <w:cantSplit/>
          <w:jc w:val="center"/>
        </w:trPr>
        <w:tc>
          <w:tcPr>
            <w:tcW w:w="507" w:type="dxa"/>
            <w:vAlign w:val="bottom"/>
            <w:hideMark/>
          </w:tcPr>
          <w:p w14:paraId="5FFCE178" w14:textId="6599676D" w:rsidR="00D246A9" w:rsidRDefault="00123C99" w:rsidP="00123C99">
            <w:pPr>
              <w:spacing w:after="80"/>
              <w:rPr>
                <w:rFonts w:ascii="Arial" w:hAnsi="Arial" w:cs="Arial"/>
                <w:sz w:val="18"/>
                <w:szCs w:val="18"/>
              </w:rPr>
            </w:pPr>
            <w:r>
              <w:rPr>
                <w:rFonts w:ascii="Arial" w:hAnsi="Arial" w:cs="Arial"/>
                <w:noProof/>
                <w:sz w:val="18"/>
                <w:szCs w:val="18"/>
              </w:rPr>
              <w:drawing>
                <wp:inline distT="0" distB="0" distL="0" distR="0" wp14:anchorId="4921BD21" wp14:editId="2C5284AE">
                  <wp:extent cx="133350" cy="228600"/>
                  <wp:effectExtent l="0" t="0" r="0" b="0"/>
                  <wp:docPr id="192482223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22235" name="Picture 1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33350" cy="228600"/>
                          </a:xfrm>
                          <a:prstGeom prst="rect">
                            <a:avLst/>
                          </a:prstGeom>
                        </pic:spPr>
                      </pic:pic>
                    </a:graphicData>
                  </a:graphic>
                </wp:inline>
              </w:drawing>
            </w:r>
          </w:p>
        </w:tc>
        <w:tc>
          <w:tcPr>
            <w:tcW w:w="10185" w:type="dxa"/>
            <w:vAlign w:val="center"/>
            <w:hideMark/>
          </w:tcPr>
          <w:p w14:paraId="0362AED6" w14:textId="77777777" w:rsidR="00D246A9" w:rsidRPr="00306F7C"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 xml:space="preserve">Vote your shares at </w:t>
            </w:r>
            <w:r>
              <w:rPr>
                <w:rFonts w:ascii="Arial" w:hAnsi="Arial" w:cs="Arial"/>
                <w:b/>
                <w:bCs/>
                <w:sz w:val="18"/>
                <w:szCs w:val="18"/>
                <w:u w:val="single"/>
              </w:rPr>
              <w:t>proxyvote.com</w:t>
            </w:r>
            <w:r>
              <w:rPr>
                <w:rFonts w:ascii="Arial" w:hAnsi="Arial" w:cs="Arial"/>
                <w:b/>
                <w:bCs/>
                <w:sz w:val="18"/>
                <w:szCs w:val="18"/>
              </w:rPr>
              <w:t>.</w:t>
            </w:r>
          </w:p>
          <w:p w14:paraId="7BD9ECFA" w14:textId="77777777" w:rsidR="00D246A9" w:rsidRDefault="00D246A9" w:rsidP="00123C99">
            <w:pPr>
              <w:pStyle w:val="NormalWeb"/>
              <w:spacing w:before="0" w:beforeAutospacing="0" w:after="80" w:afterAutospacing="0"/>
              <w:rPr>
                <w:rFonts w:ascii="Arial" w:hAnsi="Arial" w:cs="Arial"/>
                <w:sz w:val="18"/>
                <w:szCs w:val="18"/>
              </w:rPr>
            </w:pPr>
            <w:r>
              <w:rPr>
                <w:rFonts w:ascii="Arial" w:hAnsi="Arial" w:cs="Arial"/>
                <w:sz w:val="18"/>
                <w:szCs w:val="18"/>
              </w:rPr>
              <w:t>Have your Notice of Internet Availability or proxy card for the 16-digit Control Number needed to vote.</w:t>
            </w:r>
          </w:p>
        </w:tc>
      </w:tr>
      <w:tr w:rsidR="00D246A9" w14:paraId="2C5690FB" w14:textId="77777777" w:rsidTr="00123C99">
        <w:trPr>
          <w:cantSplit/>
          <w:jc w:val="center"/>
        </w:trPr>
        <w:tc>
          <w:tcPr>
            <w:tcW w:w="507" w:type="dxa"/>
            <w:vAlign w:val="bottom"/>
            <w:hideMark/>
          </w:tcPr>
          <w:p w14:paraId="45176984" w14:textId="17F8103F" w:rsidR="00D246A9" w:rsidRDefault="00123C99" w:rsidP="00123C99">
            <w:pPr>
              <w:spacing w:after="80"/>
              <w:rPr>
                <w:rFonts w:ascii="Arial" w:hAnsi="Arial" w:cs="Arial"/>
                <w:sz w:val="18"/>
                <w:szCs w:val="18"/>
              </w:rPr>
            </w:pPr>
            <w:r>
              <w:rPr>
                <w:rFonts w:ascii="Arial" w:hAnsi="Arial" w:cs="Arial"/>
                <w:noProof/>
                <w:sz w:val="18"/>
                <w:szCs w:val="18"/>
              </w:rPr>
              <w:drawing>
                <wp:inline distT="0" distB="0" distL="0" distR="0" wp14:anchorId="22940E97" wp14:editId="74B8CE51">
                  <wp:extent cx="171450" cy="180975"/>
                  <wp:effectExtent l="0" t="0" r="0" b="9525"/>
                  <wp:docPr id="1023368224"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68224" name="Picture 1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71450" cy="180975"/>
                          </a:xfrm>
                          <a:prstGeom prst="rect">
                            <a:avLst/>
                          </a:prstGeom>
                        </pic:spPr>
                      </pic:pic>
                    </a:graphicData>
                  </a:graphic>
                </wp:inline>
              </w:drawing>
            </w:r>
          </w:p>
        </w:tc>
        <w:tc>
          <w:tcPr>
            <w:tcW w:w="10185" w:type="dxa"/>
            <w:vAlign w:val="center"/>
            <w:hideMark/>
          </w:tcPr>
          <w:p w14:paraId="2E37C392" w14:textId="77777777" w:rsidR="00D246A9" w:rsidRDefault="00D246A9" w:rsidP="00123C99">
            <w:pPr>
              <w:spacing w:after="80"/>
              <w:rPr>
                <w:rFonts w:ascii="Arial" w:hAnsi="Arial" w:cs="Arial"/>
                <w:sz w:val="18"/>
                <w:szCs w:val="18"/>
              </w:rPr>
            </w:pPr>
            <w:r>
              <w:rPr>
                <w:rFonts w:ascii="Arial" w:hAnsi="Arial" w:cs="Arial"/>
                <w:b/>
                <w:bCs/>
                <w:sz w:val="18"/>
                <w:szCs w:val="18"/>
              </w:rPr>
              <w:t>Call toll-free number 1-800-690-6903.</w:t>
            </w:r>
          </w:p>
        </w:tc>
      </w:tr>
      <w:tr w:rsidR="00D246A9" w14:paraId="27BCF53D" w14:textId="77777777" w:rsidTr="00123C99">
        <w:trPr>
          <w:cantSplit/>
          <w:jc w:val="center"/>
        </w:trPr>
        <w:tc>
          <w:tcPr>
            <w:tcW w:w="507" w:type="dxa"/>
            <w:vAlign w:val="bottom"/>
            <w:hideMark/>
          </w:tcPr>
          <w:p w14:paraId="1CC8D5F7" w14:textId="19812B64" w:rsidR="00D246A9" w:rsidRDefault="00123C99" w:rsidP="00123C99">
            <w:pPr>
              <w:spacing w:after="80"/>
              <w:rPr>
                <w:rFonts w:ascii="Arial" w:hAnsi="Arial" w:cs="Arial"/>
                <w:sz w:val="18"/>
                <w:szCs w:val="18"/>
              </w:rPr>
            </w:pPr>
            <w:r>
              <w:rPr>
                <w:rFonts w:ascii="Arial" w:hAnsi="Arial" w:cs="Arial"/>
                <w:noProof/>
                <w:sz w:val="18"/>
                <w:szCs w:val="18"/>
              </w:rPr>
              <w:drawing>
                <wp:inline distT="0" distB="0" distL="0" distR="0" wp14:anchorId="0B6A5720" wp14:editId="7213706A">
                  <wp:extent cx="180975" cy="133350"/>
                  <wp:effectExtent l="0" t="0" r="9525" b="0"/>
                  <wp:docPr id="122244740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47402" name="Picture 18">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80975" cy="133350"/>
                          </a:xfrm>
                          <a:prstGeom prst="rect">
                            <a:avLst/>
                          </a:prstGeom>
                        </pic:spPr>
                      </pic:pic>
                    </a:graphicData>
                  </a:graphic>
                </wp:inline>
              </w:drawing>
            </w:r>
          </w:p>
        </w:tc>
        <w:tc>
          <w:tcPr>
            <w:tcW w:w="10185" w:type="dxa"/>
            <w:vAlign w:val="center"/>
            <w:hideMark/>
          </w:tcPr>
          <w:p w14:paraId="5FC51B80" w14:textId="77777777" w:rsidR="00D246A9" w:rsidRDefault="00D246A9" w:rsidP="00123C99">
            <w:pPr>
              <w:spacing w:after="80"/>
              <w:rPr>
                <w:rFonts w:ascii="Arial" w:hAnsi="Arial" w:cs="Arial"/>
                <w:sz w:val="18"/>
                <w:szCs w:val="18"/>
              </w:rPr>
            </w:pPr>
            <w:r>
              <w:rPr>
                <w:rFonts w:ascii="Arial" w:hAnsi="Arial" w:cs="Arial"/>
                <w:b/>
                <w:bCs/>
                <w:sz w:val="18"/>
                <w:szCs w:val="18"/>
              </w:rPr>
              <w:t>Sign, date, and return the enclosed proxy card or voting instruction form.</w:t>
            </w:r>
          </w:p>
        </w:tc>
      </w:tr>
    </w:tbl>
    <w:p w14:paraId="1718E2AE" w14:textId="77777777" w:rsidR="00D246A9" w:rsidRPr="00306F7C" w:rsidRDefault="00D246A9" w:rsidP="00647B28">
      <w:pPr>
        <w:pStyle w:val="NormalWeb"/>
        <w:spacing w:before="160" w:beforeAutospacing="0" w:after="0" w:afterAutospacing="0"/>
        <w:jc w:val="center"/>
        <w:rPr>
          <w:rFonts w:ascii="Arial" w:hAnsi="Arial" w:cs="Arial"/>
        </w:rPr>
      </w:pPr>
      <w:r>
        <w:rPr>
          <w:rFonts w:ascii="Arial" w:hAnsi="Arial" w:cs="Arial"/>
          <w:b/>
          <w:bCs/>
        </w:rPr>
        <w:t xml:space="preserve">Vote Online During the Meeting </w:t>
      </w:r>
    </w:p>
    <w:p w14:paraId="30BCE58F" w14:textId="77777777" w:rsidR="00D246A9" w:rsidRPr="00647B28" w:rsidRDefault="00D246A9" w:rsidP="00647B28">
      <w:pPr>
        <w:pStyle w:val="NormalWeb"/>
        <w:keepNext/>
        <w:spacing w:before="0" w:beforeAutospacing="0" w:after="0" w:afterAutospacing="0"/>
        <w:rPr>
          <w:sz w:val="4"/>
          <w:szCs w:val="12"/>
        </w:rPr>
      </w:pPr>
      <w:r w:rsidRPr="00647B28">
        <w:rPr>
          <w:sz w:val="4"/>
          <w:szCs w:val="12"/>
        </w:rPr>
        <w:t> </w:t>
      </w:r>
    </w:p>
    <w:tbl>
      <w:tblPr>
        <w:tblW w:w="0" w:type="auto"/>
        <w:jc w:val="center"/>
        <w:tblLayout w:type="fixed"/>
        <w:tblCellMar>
          <w:left w:w="0" w:type="dxa"/>
          <w:right w:w="0" w:type="dxa"/>
        </w:tblCellMar>
        <w:tblLook w:val="0600" w:firstRow="0" w:lastRow="0" w:firstColumn="0" w:lastColumn="0" w:noHBand="1" w:noVBand="1"/>
      </w:tblPr>
      <w:tblGrid>
        <w:gridCol w:w="458"/>
        <w:gridCol w:w="10234"/>
      </w:tblGrid>
      <w:tr w:rsidR="00D246A9" w14:paraId="2088C37A" w14:textId="77777777" w:rsidTr="00675EDB">
        <w:trPr>
          <w:cantSplit/>
          <w:jc w:val="center"/>
        </w:trPr>
        <w:tc>
          <w:tcPr>
            <w:tcW w:w="458" w:type="dxa"/>
            <w:vAlign w:val="center"/>
            <w:hideMark/>
          </w:tcPr>
          <w:p w14:paraId="05C53D60" w14:textId="3977DBC5" w:rsidR="00D246A9" w:rsidRDefault="00123C99">
            <w:pPr>
              <w:rPr>
                <w:rFonts w:ascii="Arial" w:hAnsi="Arial" w:cs="Arial"/>
                <w:sz w:val="18"/>
                <w:szCs w:val="18"/>
              </w:rPr>
            </w:pPr>
            <w:r>
              <w:rPr>
                <w:rFonts w:ascii="Arial" w:hAnsi="Arial" w:cs="Arial"/>
                <w:noProof/>
                <w:sz w:val="18"/>
                <w:szCs w:val="18"/>
              </w:rPr>
              <w:drawing>
                <wp:inline distT="0" distB="0" distL="0" distR="0" wp14:anchorId="4636DE2F" wp14:editId="70CFE1B9">
                  <wp:extent cx="228600" cy="190500"/>
                  <wp:effectExtent l="0" t="0" r="0" b="0"/>
                  <wp:docPr id="1243848893"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48893" name="Picture 20">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228600" cy="190500"/>
                          </a:xfrm>
                          <a:prstGeom prst="rect">
                            <a:avLst/>
                          </a:prstGeom>
                        </pic:spPr>
                      </pic:pic>
                    </a:graphicData>
                  </a:graphic>
                </wp:inline>
              </w:drawing>
            </w:r>
          </w:p>
        </w:tc>
        <w:tc>
          <w:tcPr>
            <w:tcW w:w="10234" w:type="dxa"/>
            <w:hideMark/>
          </w:tcPr>
          <w:p w14:paraId="7AD034DC" w14:textId="77777777" w:rsidR="00D246A9" w:rsidRDefault="00D246A9">
            <w:pPr>
              <w:rPr>
                <w:rFonts w:ascii="Arial" w:hAnsi="Arial" w:cs="Arial"/>
                <w:sz w:val="18"/>
                <w:szCs w:val="18"/>
              </w:rPr>
            </w:pPr>
            <w:r>
              <w:rPr>
                <w:rFonts w:ascii="Arial" w:hAnsi="Arial" w:cs="Arial"/>
                <w:b/>
                <w:bCs/>
                <w:sz w:val="18"/>
                <w:szCs w:val="18"/>
              </w:rPr>
              <w:t xml:space="preserve">See page 88 </w:t>
            </w:r>
            <w:r>
              <w:rPr>
                <w:rFonts w:ascii="Arial" w:hAnsi="Arial" w:cs="Arial"/>
                <w:sz w:val="18"/>
                <w:szCs w:val="18"/>
              </w:rPr>
              <w:t xml:space="preserve">in Part 5 – Information About the Meeting for details on voting your shares during the meeting through </w:t>
            </w:r>
            <w:r>
              <w:rPr>
                <w:rFonts w:ascii="Arial" w:hAnsi="Arial" w:cs="Arial"/>
                <w:sz w:val="18"/>
                <w:szCs w:val="18"/>
                <w:u w:val="single"/>
              </w:rPr>
              <w:t>proxyvote.com</w:t>
            </w:r>
            <w:r>
              <w:rPr>
                <w:rFonts w:ascii="Arial" w:hAnsi="Arial" w:cs="Arial"/>
                <w:sz w:val="18"/>
                <w:szCs w:val="18"/>
              </w:rPr>
              <w:t>.</w:t>
            </w:r>
          </w:p>
        </w:tc>
      </w:tr>
    </w:tbl>
    <w:p w14:paraId="39BFD3FF" w14:textId="77777777" w:rsidR="00D246A9" w:rsidRPr="00306F7C" w:rsidRDefault="00D246A9" w:rsidP="00647B28">
      <w:pPr>
        <w:pStyle w:val="NormalWeb"/>
        <w:spacing w:before="400" w:beforeAutospacing="0" w:after="0" w:afterAutospacing="0"/>
        <w:rPr>
          <w:rFonts w:ascii="Arial" w:hAnsi="Arial" w:cs="Arial"/>
          <w:sz w:val="28"/>
          <w:szCs w:val="28"/>
        </w:rPr>
      </w:pPr>
      <w:r>
        <w:rPr>
          <w:rFonts w:ascii="Arial" w:hAnsi="Arial" w:cs="Arial"/>
          <w:b/>
          <w:bCs/>
          <w:color w:val="0075C9"/>
          <w:sz w:val="28"/>
          <w:szCs w:val="28"/>
        </w:rPr>
        <w:t xml:space="preserve">Voting Matters and Vote Recommendations </w:t>
      </w:r>
    </w:p>
    <w:p w14:paraId="0F34ABB7" w14:textId="77777777" w:rsidR="00D246A9" w:rsidRDefault="00D246A9" w:rsidP="00647B28">
      <w:pPr>
        <w:pStyle w:val="NormalWeb"/>
        <w:keepNext/>
        <w:spacing w:before="40" w:beforeAutospacing="0" w:after="0" w:afterAutospacing="0"/>
        <w:rPr>
          <w:rFonts w:ascii="Arial" w:hAnsi="Arial" w:cs="Arial"/>
          <w:sz w:val="18"/>
          <w:szCs w:val="18"/>
        </w:rPr>
      </w:pPr>
      <w:r>
        <w:rPr>
          <w:rFonts w:ascii="Arial" w:hAnsi="Arial" w:cs="Arial"/>
          <w:b/>
          <w:bCs/>
          <w:sz w:val="18"/>
          <w:szCs w:val="18"/>
        </w:rPr>
        <w:t xml:space="preserve">See Part 4 – Proposals to be Voted on During the Meeting for more information. </w:t>
      </w:r>
    </w:p>
    <w:tbl>
      <w:tblPr>
        <w:tblW w:w="0" w:type="auto"/>
        <w:tblLayout w:type="fixed"/>
        <w:tblCellMar>
          <w:left w:w="0" w:type="dxa"/>
          <w:right w:w="0" w:type="dxa"/>
        </w:tblCellMar>
        <w:tblLook w:val="0600" w:firstRow="0" w:lastRow="0" w:firstColumn="0" w:lastColumn="0" w:noHBand="1" w:noVBand="1"/>
      </w:tblPr>
      <w:tblGrid>
        <w:gridCol w:w="8641"/>
        <w:gridCol w:w="1456"/>
        <w:gridCol w:w="703"/>
      </w:tblGrid>
      <w:tr w:rsidR="00123C99" w14:paraId="0AE7218C" w14:textId="77777777" w:rsidTr="00BE6465">
        <w:trPr>
          <w:tblHeader/>
        </w:trPr>
        <w:tc>
          <w:tcPr>
            <w:tcW w:w="10097" w:type="dxa"/>
            <w:gridSpan w:val="2"/>
            <w:tcBorders>
              <w:bottom w:val="single" w:sz="8" w:space="0" w:color="000000"/>
            </w:tcBorders>
            <w:vAlign w:val="bottom"/>
            <w:hideMark/>
          </w:tcPr>
          <w:p w14:paraId="0BB43AEA" w14:textId="77777777" w:rsidR="00123C99" w:rsidRPr="00306F7C" w:rsidRDefault="00123C99" w:rsidP="00123C99">
            <w:pPr>
              <w:pStyle w:val="NormalWeb"/>
              <w:spacing w:before="0" w:beforeAutospacing="0" w:after="0" w:afterAutospacing="0"/>
              <w:jc w:val="right"/>
              <w:rPr>
                <w:rFonts w:ascii="Arial" w:hAnsi="Arial" w:cs="Arial"/>
                <w:sz w:val="20"/>
                <w:szCs w:val="20"/>
              </w:rPr>
            </w:pPr>
            <w:r>
              <w:rPr>
                <w:rFonts w:ascii="Arial" w:hAnsi="Arial" w:cs="Arial"/>
                <w:b/>
                <w:bCs/>
                <w:sz w:val="20"/>
                <w:szCs w:val="20"/>
              </w:rPr>
              <w:t>Board</w:t>
            </w:r>
          </w:p>
          <w:p w14:paraId="1C44D37D" w14:textId="77777777" w:rsidR="00123C99" w:rsidRDefault="00123C99" w:rsidP="00123C99">
            <w:pPr>
              <w:pStyle w:val="NormalWeb"/>
              <w:spacing w:before="0" w:beforeAutospacing="0" w:after="0" w:afterAutospacing="0"/>
              <w:jc w:val="right"/>
              <w:rPr>
                <w:rFonts w:ascii="Arial" w:hAnsi="Arial" w:cs="Arial"/>
                <w:sz w:val="20"/>
                <w:szCs w:val="20"/>
              </w:rPr>
            </w:pPr>
            <w:proofErr w:type="gramStart"/>
            <w:r>
              <w:rPr>
                <w:rFonts w:ascii="Arial" w:hAnsi="Arial" w:cs="Arial"/>
                <w:b/>
                <w:bCs/>
                <w:sz w:val="20"/>
                <w:szCs w:val="20"/>
              </w:rPr>
              <w:t>Recommends</w:t>
            </w:r>
            <w:proofErr w:type="gramEnd"/>
          </w:p>
          <w:p w14:paraId="177229E5" w14:textId="77777777" w:rsidR="00123C99" w:rsidRDefault="00123C99" w:rsidP="00123C99">
            <w:pPr>
              <w:pStyle w:val="NormalWeb"/>
              <w:spacing w:before="0" w:beforeAutospacing="0" w:after="20" w:afterAutospacing="0"/>
              <w:jc w:val="right"/>
              <w:rPr>
                <w:rFonts w:ascii="Arial" w:hAnsi="Arial" w:cs="Arial"/>
                <w:sz w:val="4"/>
                <w:szCs w:val="4"/>
              </w:rPr>
            </w:pPr>
            <w:r>
              <w:rPr>
                <w:rFonts w:ascii="Arial" w:hAnsi="Arial" w:cs="Arial"/>
                <w:sz w:val="4"/>
                <w:szCs w:val="4"/>
              </w:rPr>
              <w:t> </w:t>
            </w:r>
          </w:p>
        </w:tc>
        <w:tc>
          <w:tcPr>
            <w:tcW w:w="703" w:type="dxa"/>
            <w:tcBorders>
              <w:bottom w:val="single" w:sz="8" w:space="0" w:color="000000"/>
            </w:tcBorders>
            <w:noWrap/>
            <w:tcMar>
              <w:top w:w="0" w:type="dxa"/>
              <w:left w:w="144" w:type="dxa"/>
              <w:bottom w:w="0" w:type="dxa"/>
              <w:right w:w="0" w:type="dxa"/>
            </w:tcMar>
            <w:vAlign w:val="bottom"/>
            <w:hideMark/>
          </w:tcPr>
          <w:p w14:paraId="11BDF49C" w14:textId="77777777" w:rsidR="00123C99" w:rsidRDefault="00123C99">
            <w:pPr>
              <w:pStyle w:val="NormalWeb"/>
              <w:spacing w:before="0" w:beforeAutospacing="0" w:after="0" w:afterAutospacing="0"/>
              <w:jc w:val="center"/>
              <w:rPr>
                <w:rFonts w:ascii="Arial" w:hAnsi="Arial" w:cs="Arial"/>
                <w:sz w:val="20"/>
                <w:szCs w:val="20"/>
              </w:rPr>
            </w:pPr>
            <w:r>
              <w:rPr>
                <w:rFonts w:ascii="Arial" w:hAnsi="Arial" w:cs="Arial"/>
                <w:b/>
                <w:bCs/>
                <w:sz w:val="20"/>
                <w:szCs w:val="20"/>
              </w:rPr>
              <w:t>See</w:t>
            </w:r>
          </w:p>
          <w:p w14:paraId="3F5DC3E9" w14:textId="77777777" w:rsidR="00123C99" w:rsidRDefault="00123C99">
            <w:pPr>
              <w:pStyle w:val="NormalWeb"/>
              <w:spacing w:before="0" w:beforeAutospacing="0" w:after="0" w:afterAutospacing="0"/>
              <w:jc w:val="center"/>
              <w:rPr>
                <w:rFonts w:ascii="Arial" w:hAnsi="Arial" w:cs="Arial"/>
                <w:sz w:val="20"/>
                <w:szCs w:val="20"/>
              </w:rPr>
            </w:pPr>
            <w:r>
              <w:rPr>
                <w:rFonts w:ascii="Arial" w:hAnsi="Arial" w:cs="Arial"/>
                <w:b/>
                <w:bCs/>
                <w:sz w:val="20"/>
                <w:szCs w:val="20"/>
              </w:rPr>
              <w:t> Page </w:t>
            </w:r>
          </w:p>
          <w:p w14:paraId="0B31A72D" w14:textId="77777777" w:rsidR="00123C99" w:rsidRDefault="00123C99">
            <w:pPr>
              <w:pStyle w:val="NormalWeb"/>
              <w:spacing w:before="0" w:beforeAutospacing="0" w:after="20" w:afterAutospacing="0"/>
              <w:rPr>
                <w:rFonts w:ascii="Arial" w:hAnsi="Arial" w:cs="Arial"/>
                <w:sz w:val="4"/>
                <w:szCs w:val="4"/>
              </w:rPr>
            </w:pPr>
            <w:r>
              <w:rPr>
                <w:rFonts w:ascii="Arial" w:hAnsi="Arial" w:cs="Arial"/>
                <w:sz w:val="4"/>
                <w:szCs w:val="4"/>
              </w:rPr>
              <w:t> </w:t>
            </w:r>
          </w:p>
        </w:tc>
      </w:tr>
      <w:tr w:rsidR="00BE6465" w14:paraId="66C951DB" w14:textId="77777777" w:rsidTr="00BE6465">
        <w:tc>
          <w:tcPr>
            <w:tcW w:w="10800" w:type="dxa"/>
            <w:gridSpan w:val="3"/>
            <w:tcBorders>
              <w:bottom w:val="single" w:sz="6" w:space="0" w:color="000000"/>
            </w:tcBorders>
            <w:tcMar>
              <w:top w:w="0" w:type="dxa"/>
              <w:left w:w="0" w:type="dxa"/>
              <w:bottom w:w="40" w:type="dxa"/>
              <w:right w:w="0" w:type="dxa"/>
            </w:tcMar>
            <w:hideMark/>
          </w:tcPr>
          <w:p w14:paraId="22051A4C" w14:textId="77777777" w:rsidR="00BE6465" w:rsidRPr="00306F7C" w:rsidRDefault="00BE6465">
            <w:pPr>
              <w:pStyle w:val="NormalWeb"/>
              <w:keepNext/>
              <w:spacing w:before="0" w:beforeAutospacing="0" w:after="0" w:afterAutospacing="0"/>
              <w:rPr>
                <w:rFonts w:ascii="Arial" w:hAnsi="Arial" w:cs="Arial"/>
                <w:sz w:val="4"/>
                <w:szCs w:val="4"/>
              </w:rPr>
            </w:pPr>
            <w:r>
              <w:rPr>
                <w:rFonts w:ascii="Arial" w:hAnsi="Arial" w:cs="Arial"/>
                <w:sz w:val="4"/>
                <w:szCs w:val="4"/>
              </w:rPr>
              <w:t> </w:t>
            </w:r>
          </w:p>
          <w:p w14:paraId="4933E447" w14:textId="38CE899C" w:rsidR="00BE6465" w:rsidRDefault="00BE6465">
            <w:pPr>
              <w:rPr>
                <w:sz w:val="20"/>
              </w:rPr>
            </w:pPr>
            <w:r>
              <w:rPr>
                <w:rFonts w:ascii="Arial" w:hAnsi="Arial" w:cs="Arial"/>
                <w:b/>
                <w:bCs/>
                <w:sz w:val="20"/>
              </w:rPr>
              <w:t>Management Proposals</w:t>
            </w:r>
          </w:p>
        </w:tc>
      </w:tr>
      <w:tr w:rsidR="00D246A9" w14:paraId="1BC539B8" w14:textId="77777777" w:rsidTr="00BE6465">
        <w:tc>
          <w:tcPr>
            <w:tcW w:w="8641" w:type="dxa"/>
            <w:tcMar>
              <w:top w:w="0" w:type="dxa"/>
              <w:left w:w="0" w:type="dxa"/>
              <w:bottom w:w="60" w:type="dxa"/>
              <w:right w:w="0" w:type="dxa"/>
            </w:tcMar>
            <w:vAlign w:val="center"/>
            <w:hideMark/>
          </w:tcPr>
          <w:p w14:paraId="3A37E188" w14:textId="248A5262" w:rsidR="00D246A9" w:rsidRPr="00BE6465" w:rsidRDefault="00D246A9" w:rsidP="00BE6465">
            <w:pPr>
              <w:pStyle w:val="NormalWeb"/>
              <w:keepNext/>
              <w:spacing w:before="0" w:beforeAutospacing="0" w:after="0" w:afterAutospacing="0"/>
              <w:ind w:left="144"/>
              <w:rPr>
                <w:rFonts w:ascii="Arial" w:hAnsi="Arial" w:cs="Arial"/>
                <w:sz w:val="4"/>
                <w:szCs w:val="4"/>
              </w:rPr>
            </w:pPr>
            <w:r>
              <w:rPr>
                <w:rFonts w:ascii="Arial" w:hAnsi="Arial" w:cs="Arial"/>
                <w:sz w:val="18"/>
                <w:szCs w:val="18"/>
              </w:rPr>
              <w:t>Election of 12 Directors</w:t>
            </w:r>
            <w:r>
              <w:rPr>
                <w:rFonts w:ascii="Arial" w:hAnsi="Arial" w:cs="Arial"/>
                <w:sz w:val="18"/>
                <w:szCs w:val="18"/>
              </w:rPr>
              <w:tab/>
            </w:r>
          </w:p>
        </w:tc>
        <w:tc>
          <w:tcPr>
            <w:tcW w:w="1456" w:type="dxa"/>
            <w:noWrap/>
            <w:tcMar>
              <w:top w:w="0" w:type="dxa"/>
              <w:left w:w="144" w:type="dxa"/>
              <w:bottom w:w="0" w:type="dxa"/>
              <w:right w:w="0" w:type="dxa"/>
            </w:tcMar>
            <w:vAlign w:val="center"/>
            <w:hideMark/>
          </w:tcPr>
          <w:p w14:paraId="37F07CB4" w14:textId="285769B2"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sz w:val="18"/>
                <w:szCs w:val="18"/>
              </w:rPr>
              <w:t>FOR</w:t>
            </w:r>
          </w:p>
        </w:tc>
        <w:tc>
          <w:tcPr>
            <w:tcW w:w="703" w:type="dxa"/>
            <w:noWrap/>
            <w:tcMar>
              <w:top w:w="0" w:type="dxa"/>
              <w:left w:w="144" w:type="dxa"/>
              <w:bottom w:w="0" w:type="dxa"/>
              <w:right w:w="0" w:type="dxa"/>
            </w:tcMar>
            <w:vAlign w:val="center"/>
            <w:hideMark/>
          </w:tcPr>
          <w:p w14:paraId="597C974D" w14:textId="7B174EE8"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b/>
                <w:bCs/>
                <w:sz w:val="18"/>
                <w:szCs w:val="18"/>
              </w:rPr>
              <w:t>65</w:t>
            </w:r>
          </w:p>
        </w:tc>
      </w:tr>
      <w:tr w:rsidR="00D246A9" w14:paraId="4CDBA3C9" w14:textId="77777777" w:rsidTr="00BE6465">
        <w:tc>
          <w:tcPr>
            <w:tcW w:w="8641" w:type="dxa"/>
            <w:tcMar>
              <w:top w:w="0" w:type="dxa"/>
              <w:left w:w="0" w:type="dxa"/>
              <w:bottom w:w="60" w:type="dxa"/>
              <w:right w:w="0" w:type="dxa"/>
            </w:tcMar>
            <w:vAlign w:val="center"/>
            <w:hideMark/>
          </w:tcPr>
          <w:p w14:paraId="58F87042" w14:textId="063FF73F" w:rsidR="00D246A9" w:rsidRPr="00BE6465" w:rsidRDefault="00D246A9" w:rsidP="00BE6465">
            <w:pPr>
              <w:pStyle w:val="NormalWeb"/>
              <w:spacing w:before="0" w:beforeAutospacing="0" w:after="0" w:afterAutospacing="0"/>
              <w:ind w:left="144"/>
              <w:rPr>
                <w:rFonts w:ascii="Arial" w:hAnsi="Arial" w:cs="Arial"/>
                <w:sz w:val="4"/>
                <w:szCs w:val="4"/>
              </w:rPr>
            </w:pPr>
            <w:r>
              <w:rPr>
                <w:rFonts w:ascii="Arial" w:hAnsi="Arial" w:cs="Arial"/>
                <w:sz w:val="18"/>
                <w:szCs w:val="18"/>
              </w:rPr>
              <w:t>Advisory Vote to Approve Named Executive Officer Compensation (“say-on-pay vote”)</w:t>
            </w:r>
            <w:r>
              <w:rPr>
                <w:rFonts w:ascii="Arial" w:hAnsi="Arial" w:cs="Arial"/>
                <w:sz w:val="18"/>
                <w:szCs w:val="18"/>
              </w:rPr>
              <w:tab/>
            </w:r>
          </w:p>
        </w:tc>
        <w:tc>
          <w:tcPr>
            <w:tcW w:w="1456" w:type="dxa"/>
            <w:noWrap/>
            <w:tcMar>
              <w:top w:w="0" w:type="dxa"/>
              <w:left w:w="144" w:type="dxa"/>
              <w:bottom w:w="0" w:type="dxa"/>
              <w:right w:w="0" w:type="dxa"/>
            </w:tcMar>
            <w:vAlign w:val="center"/>
            <w:hideMark/>
          </w:tcPr>
          <w:p w14:paraId="281FFDE5" w14:textId="6030606F"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sz w:val="18"/>
                <w:szCs w:val="18"/>
              </w:rPr>
              <w:t>FOR</w:t>
            </w:r>
          </w:p>
        </w:tc>
        <w:tc>
          <w:tcPr>
            <w:tcW w:w="703" w:type="dxa"/>
            <w:noWrap/>
            <w:tcMar>
              <w:top w:w="0" w:type="dxa"/>
              <w:left w:w="144" w:type="dxa"/>
              <w:bottom w:w="0" w:type="dxa"/>
              <w:right w:w="0" w:type="dxa"/>
            </w:tcMar>
            <w:vAlign w:val="center"/>
            <w:hideMark/>
          </w:tcPr>
          <w:p w14:paraId="581586A7" w14:textId="1FD28905"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b/>
                <w:bCs/>
                <w:sz w:val="18"/>
                <w:szCs w:val="18"/>
              </w:rPr>
              <w:t>66</w:t>
            </w:r>
          </w:p>
        </w:tc>
      </w:tr>
      <w:tr w:rsidR="00D246A9" w14:paraId="1CB3FF9E" w14:textId="77777777" w:rsidTr="00BE6465">
        <w:tc>
          <w:tcPr>
            <w:tcW w:w="8641" w:type="dxa"/>
            <w:tcMar>
              <w:top w:w="0" w:type="dxa"/>
              <w:left w:w="0" w:type="dxa"/>
              <w:bottom w:w="60" w:type="dxa"/>
              <w:right w:w="0" w:type="dxa"/>
            </w:tcMar>
            <w:vAlign w:val="center"/>
            <w:hideMark/>
          </w:tcPr>
          <w:p w14:paraId="3D9CBECF" w14:textId="255F8C7A" w:rsidR="00D246A9" w:rsidRPr="00BE6465" w:rsidRDefault="00D246A9" w:rsidP="00BE6465">
            <w:pPr>
              <w:pStyle w:val="NormalWeb"/>
              <w:spacing w:before="0" w:beforeAutospacing="0" w:after="0" w:afterAutospacing="0"/>
              <w:ind w:left="144"/>
              <w:rPr>
                <w:rFonts w:ascii="Arial" w:hAnsi="Arial" w:cs="Arial"/>
                <w:sz w:val="4"/>
                <w:szCs w:val="4"/>
              </w:rPr>
            </w:pPr>
            <w:r>
              <w:rPr>
                <w:rFonts w:ascii="Arial" w:hAnsi="Arial" w:cs="Arial"/>
                <w:sz w:val="18"/>
                <w:szCs w:val="18"/>
              </w:rPr>
              <w:t>Advisory Vote on the Frequency of Advisory Vote on Executive Compensation</w:t>
            </w:r>
            <w:r>
              <w:rPr>
                <w:rFonts w:ascii="Arial" w:hAnsi="Arial" w:cs="Arial"/>
                <w:sz w:val="18"/>
                <w:szCs w:val="18"/>
              </w:rPr>
              <w:tab/>
            </w:r>
          </w:p>
        </w:tc>
        <w:tc>
          <w:tcPr>
            <w:tcW w:w="1456" w:type="dxa"/>
            <w:noWrap/>
            <w:tcMar>
              <w:top w:w="0" w:type="dxa"/>
              <w:left w:w="144" w:type="dxa"/>
              <w:bottom w:w="0" w:type="dxa"/>
              <w:right w:w="0" w:type="dxa"/>
            </w:tcMar>
            <w:vAlign w:val="center"/>
            <w:hideMark/>
          </w:tcPr>
          <w:p w14:paraId="54A0E2A3" w14:textId="642B1AE4"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sz w:val="18"/>
                <w:szCs w:val="18"/>
              </w:rPr>
              <w:t>FOR</w:t>
            </w:r>
            <w:r w:rsidR="00BE6465">
              <w:rPr>
                <w:rFonts w:ascii="Arial" w:hAnsi="Arial" w:cs="Arial"/>
                <w:sz w:val="18"/>
                <w:szCs w:val="18"/>
              </w:rPr>
              <w:t xml:space="preserve"> </w:t>
            </w:r>
            <w:r>
              <w:rPr>
                <w:rFonts w:ascii="Arial" w:hAnsi="Arial" w:cs="Arial"/>
                <w:sz w:val="18"/>
                <w:szCs w:val="18"/>
              </w:rPr>
              <w:t>EVERY YEAR</w:t>
            </w:r>
          </w:p>
        </w:tc>
        <w:tc>
          <w:tcPr>
            <w:tcW w:w="703" w:type="dxa"/>
            <w:noWrap/>
            <w:tcMar>
              <w:top w:w="0" w:type="dxa"/>
              <w:left w:w="144" w:type="dxa"/>
              <w:bottom w:w="0" w:type="dxa"/>
              <w:right w:w="0" w:type="dxa"/>
            </w:tcMar>
            <w:vAlign w:val="center"/>
            <w:hideMark/>
          </w:tcPr>
          <w:p w14:paraId="5669321A" w14:textId="10DE42A7"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b/>
                <w:bCs/>
                <w:sz w:val="18"/>
                <w:szCs w:val="18"/>
              </w:rPr>
              <w:t>68</w:t>
            </w:r>
          </w:p>
        </w:tc>
      </w:tr>
      <w:tr w:rsidR="00D246A9" w14:paraId="05622385" w14:textId="77777777" w:rsidTr="00BE6465">
        <w:tc>
          <w:tcPr>
            <w:tcW w:w="8641" w:type="dxa"/>
            <w:tcBorders>
              <w:bottom w:val="single" w:sz="6" w:space="0" w:color="000000"/>
            </w:tcBorders>
            <w:tcMar>
              <w:top w:w="0" w:type="dxa"/>
              <w:left w:w="0" w:type="dxa"/>
              <w:bottom w:w="60" w:type="dxa"/>
              <w:right w:w="0" w:type="dxa"/>
            </w:tcMar>
            <w:hideMark/>
          </w:tcPr>
          <w:p w14:paraId="4C07AE46" w14:textId="68C9D3D8" w:rsidR="00D246A9" w:rsidRPr="00BE6465" w:rsidRDefault="00D246A9" w:rsidP="00BE6465">
            <w:pPr>
              <w:pStyle w:val="NormalWeb"/>
              <w:spacing w:before="0" w:beforeAutospacing="0" w:after="0" w:afterAutospacing="0"/>
              <w:ind w:left="144"/>
              <w:rPr>
                <w:rFonts w:ascii="Arial" w:hAnsi="Arial" w:cs="Arial"/>
                <w:sz w:val="4"/>
                <w:szCs w:val="4"/>
              </w:rPr>
            </w:pPr>
            <w:r>
              <w:rPr>
                <w:rFonts w:ascii="Arial" w:hAnsi="Arial" w:cs="Arial"/>
                <w:sz w:val="18"/>
                <w:szCs w:val="18"/>
              </w:rPr>
              <w:t>Ratification of the Selection of Deloitte &amp; Touche LLP as our Independent Auditor for Fiscal Year 2024</w:t>
            </w:r>
            <w:r>
              <w:rPr>
                <w:rFonts w:ascii="Arial" w:hAnsi="Arial" w:cs="Arial"/>
                <w:sz w:val="18"/>
                <w:szCs w:val="18"/>
              </w:rPr>
              <w:tab/>
            </w:r>
          </w:p>
        </w:tc>
        <w:tc>
          <w:tcPr>
            <w:tcW w:w="1456" w:type="dxa"/>
            <w:tcBorders>
              <w:bottom w:val="single" w:sz="6" w:space="0" w:color="000000"/>
            </w:tcBorders>
            <w:noWrap/>
            <w:tcMar>
              <w:top w:w="0" w:type="dxa"/>
              <w:left w:w="144" w:type="dxa"/>
              <w:bottom w:w="0" w:type="dxa"/>
              <w:right w:w="0" w:type="dxa"/>
            </w:tcMar>
            <w:vAlign w:val="center"/>
            <w:hideMark/>
          </w:tcPr>
          <w:p w14:paraId="5DB58C5E" w14:textId="77777777" w:rsidR="00D246A9" w:rsidRDefault="00D246A9" w:rsidP="00BE6465">
            <w:pPr>
              <w:pStyle w:val="NormalWeb"/>
              <w:spacing w:before="0" w:beforeAutospacing="0" w:after="20" w:afterAutospacing="0"/>
              <w:jc w:val="center"/>
              <w:rPr>
                <w:rFonts w:ascii="Arial" w:hAnsi="Arial" w:cs="Arial"/>
                <w:sz w:val="18"/>
                <w:szCs w:val="18"/>
              </w:rPr>
            </w:pPr>
            <w:r>
              <w:rPr>
                <w:rFonts w:ascii="Arial" w:hAnsi="Arial" w:cs="Arial"/>
                <w:sz w:val="18"/>
                <w:szCs w:val="18"/>
              </w:rPr>
              <w:t>FOR</w:t>
            </w:r>
          </w:p>
        </w:tc>
        <w:tc>
          <w:tcPr>
            <w:tcW w:w="703" w:type="dxa"/>
            <w:tcBorders>
              <w:bottom w:val="single" w:sz="6" w:space="0" w:color="000000"/>
            </w:tcBorders>
            <w:noWrap/>
            <w:tcMar>
              <w:top w:w="0" w:type="dxa"/>
              <w:left w:w="144" w:type="dxa"/>
              <w:bottom w:w="0" w:type="dxa"/>
              <w:right w:w="0" w:type="dxa"/>
            </w:tcMar>
            <w:vAlign w:val="center"/>
            <w:hideMark/>
          </w:tcPr>
          <w:p w14:paraId="06DA725E" w14:textId="272E23A1"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b/>
                <w:bCs/>
                <w:sz w:val="18"/>
                <w:szCs w:val="18"/>
              </w:rPr>
              <w:t>68</w:t>
            </w:r>
          </w:p>
        </w:tc>
      </w:tr>
      <w:tr w:rsidR="00BE6465" w14:paraId="1002AF89" w14:textId="77777777" w:rsidTr="00BE6465">
        <w:tc>
          <w:tcPr>
            <w:tcW w:w="10800" w:type="dxa"/>
            <w:gridSpan w:val="3"/>
            <w:tcBorders>
              <w:bottom w:val="single" w:sz="6" w:space="0" w:color="000000"/>
            </w:tcBorders>
            <w:tcMar>
              <w:top w:w="0" w:type="dxa"/>
              <w:left w:w="0" w:type="dxa"/>
              <w:bottom w:w="40" w:type="dxa"/>
              <w:right w:w="0" w:type="dxa"/>
            </w:tcMar>
            <w:hideMark/>
          </w:tcPr>
          <w:p w14:paraId="3E39B9DA" w14:textId="77777777" w:rsidR="00BE6465" w:rsidRPr="00306F7C" w:rsidRDefault="00BE6465">
            <w:pPr>
              <w:pStyle w:val="NormalWeb"/>
              <w:spacing w:before="0" w:beforeAutospacing="0" w:after="0" w:afterAutospacing="0"/>
              <w:rPr>
                <w:rFonts w:ascii="Arial" w:hAnsi="Arial" w:cs="Arial"/>
                <w:sz w:val="4"/>
                <w:szCs w:val="4"/>
              </w:rPr>
            </w:pPr>
            <w:r>
              <w:rPr>
                <w:rFonts w:ascii="Arial" w:hAnsi="Arial" w:cs="Arial"/>
                <w:sz w:val="4"/>
                <w:szCs w:val="4"/>
              </w:rPr>
              <w:t> </w:t>
            </w:r>
          </w:p>
          <w:p w14:paraId="08F73D98" w14:textId="479BC546" w:rsidR="00BE6465" w:rsidRDefault="00BE6465">
            <w:pPr>
              <w:rPr>
                <w:sz w:val="20"/>
              </w:rPr>
            </w:pPr>
            <w:r>
              <w:rPr>
                <w:rFonts w:ascii="Arial" w:hAnsi="Arial" w:cs="Arial"/>
                <w:b/>
                <w:bCs/>
                <w:sz w:val="20"/>
              </w:rPr>
              <w:t>Shareholder Proposals</w:t>
            </w:r>
          </w:p>
        </w:tc>
      </w:tr>
      <w:tr w:rsidR="00D246A9" w14:paraId="38F05E5B" w14:textId="77777777" w:rsidTr="00BE6465">
        <w:tc>
          <w:tcPr>
            <w:tcW w:w="8641" w:type="dxa"/>
            <w:tcMar>
              <w:top w:w="0" w:type="dxa"/>
              <w:left w:w="0" w:type="dxa"/>
              <w:bottom w:w="60" w:type="dxa"/>
              <w:right w:w="0" w:type="dxa"/>
            </w:tcMar>
            <w:vAlign w:val="center"/>
            <w:hideMark/>
          </w:tcPr>
          <w:p w14:paraId="3B5E5409" w14:textId="66F0D5E7" w:rsidR="00D246A9" w:rsidRPr="00BE6465" w:rsidRDefault="00D246A9" w:rsidP="00BE6465">
            <w:pPr>
              <w:pStyle w:val="NormalWeb"/>
              <w:spacing w:before="0" w:beforeAutospacing="0" w:after="0" w:afterAutospacing="0"/>
              <w:ind w:left="144"/>
              <w:rPr>
                <w:rFonts w:ascii="Arial" w:hAnsi="Arial" w:cs="Arial"/>
                <w:sz w:val="4"/>
                <w:szCs w:val="4"/>
              </w:rPr>
            </w:pPr>
            <w:r>
              <w:rPr>
                <w:rFonts w:ascii="Arial" w:hAnsi="Arial" w:cs="Arial"/>
                <w:sz w:val="18"/>
                <w:szCs w:val="18"/>
              </w:rPr>
              <w:t>Report on Gender-Based Compensation and Benefit Gaps</w:t>
            </w:r>
            <w:r>
              <w:rPr>
                <w:rFonts w:ascii="Arial" w:hAnsi="Arial" w:cs="Arial"/>
                <w:sz w:val="18"/>
                <w:szCs w:val="18"/>
              </w:rPr>
              <w:tab/>
            </w:r>
          </w:p>
        </w:tc>
        <w:tc>
          <w:tcPr>
            <w:tcW w:w="1456" w:type="dxa"/>
            <w:noWrap/>
            <w:tcMar>
              <w:top w:w="0" w:type="dxa"/>
              <w:left w:w="144" w:type="dxa"/>
              <w:bottom w:w="0" w:type="dxa"/>
              <w:right w:w="0" w:type="dxa"/>
            </w:tcMar>
            <w:vAlign w:val="center"/>
            <w:hideMark/>
          </w:tcPr>
          <w:p w14:paraId="787AB7DB" w14:textId="54048DFB"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035D9A2D" w14:textId="61CF168D"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b/>
                <w:bCs/>
                <w:sz w:val="18"/>
                <w:szCs w:val="18"/>
              </w:rPr>
              <w:t>69</w:t>
            </w:r>
          </w:p>
        </w:tc>
      </w:tr>
      <w:tr w:rsidR="00D246A9" w14:paraId="04621A34" w14:textId="77777777" w:rsidTr="00BE6465">
        <w:tc>
          <w:tcPr>
            <w:tcW w:w="8641" w:type="dxa"/>
            <w:tcMar>
              <w:top w:w="0" w:type="dxa"/>
              <w:left w:w="0" w:type="dxa"/>
              <w:bottom w:w="60" w:type="dxa"/>
              <w:right w:w="0" w:type="dxa"/>
            </w:tcMar>
            <w:vAlign w:val="center"/>
            <w:hideMark/>
          </w:tcPr>
          <w:p w14:paraId="74222C50" w14:textId="135051CE" w:rsidR="00D246A9" w:rsidRPr="00BE6465" w:rsidRDefault="00D246A9" w:rsidP="00BE6465">
            <w:pPr>
              <w:pStyle w:val="NormalWeb"/>
              <w:spacing w:before="0" w:beforeAutospacing="0" w:after="0" w:afterAutospacing="0"/>
              <w:ind w:left="144"/>
              <w:rPr>
                <w:rFonts w:ascii="Arial" w:hAnsi="Arial" w:cs="Arial"/>
                <w:sz w:val="4"/>
                <w:szCs w:val="4"/>
              </w:rPr>
            </w:pPr>
            <w:r>
              <w:rPr>
                <w:rFonts w:ascii="Arial" w:hAnsi="Arial" w:cs="Arial"/>
                <w:sz w:val="18"/>
                <w:szCs w:val="18"/>
              </w:rPr>
              <w:t>Report on Risk from Omitting Ideology in EEO Policy</w:t>
            </w:r>
            <w:r>
              <w:rPr>
                <w:rFonts w:ascii="Arial" w:hAnsi="Arial" w:cs="Arial"/>
                <w:sz w:val="18"/>
                <w:szCs w:val="18"/>
              </w:rPr>
              <w:tab/>
            </w:r>
          </w:p>
        </w:tc>
        <w:tc>
          <w:tcPr>
            <w:tcW w:w="1456" w:type="dxa"/>
            <w:noWrap/>
            <w:tcMar>
              <w:top w:w="0" w:type="dxa"/>
              <w:left w:w="144" w:type="dxa"/>
              <w:bottom w:w="0" w:type="dxa"/>
              <w:right w:w="0" w:type="dxa"/>
            </w:tcMar>
            <w:vAlign w:val="center"/>
            <w:hideMark/>
          </w:tcPr>
          <w:p w14:paraId="66E9AD5C" w14:textId="038187C8"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51B413A2" w14:textId="1E8A7DEE"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b/>
                <w:bCs/>
                <w:sz w:val="18"/>
                <w:szCs w:val="18"/>
              </w:rPr>
              <w:t>71</w:t>
            </w:r>
          </w:p>
        </w:tc>
      </w:tr>
      <w:tr w:rsidR="00D246A9" w14:paraId="0FA03273" w14:textId="77777777" w:rsidTr="00BE6465">
        <w:tc>
          <w:tcPr>
            <w:tcW w:w="8641" w:type="dxa"/>
            <w:tcMar>
              <w:top w:w="0" w:type="dxa"/>
              <w:left w:w="0" w:type="dxa"/>
              <w:bottom w:w="60" w:type="dxa"/>
              <w:right w:w="0" w:type="dxa"/>
            </w:tcMar>
            <w:vAlign w:val="center"/>
            <w:hideMark/>
          </w:tcPr>
          <w:p w14:paraId="0B9FFEC3" w14:textId="58BA179C" w:rsidR="00D246A9" w:rsidRPr="00BE6465" w:rsidRDefault="00D246A9" w:rsidP="00BE6465">
            <w:pPr>
              <w:pStyle w:val="NormalWeb"/>
              <w:spacing w:before="0" w:beforeAutospacing="0" w:after="0" w:afterAutospacing="0"/>
              <w:ind w:left="144"/>
              <w:rPr>
                <w:rFonts w:ascii="Arial" w:hAnsi="Arial" w:cs="Arial"/>
                <w:sz w:val="4"/>
                <w:szCs w:val="4"/>
              </w:rPr>
            </w:pPr>
            <w:r>
              <w:rPr>
                <w:rFonts w:ascii="Arial" w:hAnsi="Arial" w:cs="Arial"/>
                <w:sz w:val="18"/>
                <w:szCs w:val="18"/>
              </w:rPr>
              <w:t>Report on Government Takedown Requests</w:t>
            </w:r>
            <w:r>
              <w:rPr>
                <w:rFonts w:ascii="Arial" w:hAnsi="Arial" w:cs="Arial"/>
                <w:sz w:val="18"/>
                <w:szCs w:val="18"/>
              </w:rPr>
              <w:tab/>
            </w:r>
          </w:p>
        </w:tc>
        <w:tc>
          <w:tcPr>
            <w:tcW w:w="1456" w:type="dxa"/>
            <w:noWrap/>
            <w:tcMar>
              <w:top w:w="0" w:type="dxa"/>
              <w:left w:w="144" w:type="dxa"/>
              <w:bottom w:w="0" w:type="dxa"/>
              <w:right w:w="0" w:type="dxa"/>
            </w:tcMar>
            <w:vAlign w:val="center"/>
            <w:hideMark/>
          </w:tcPr>
          <w:p w14:paraId="71A2F490" w14:textId="6B780E00"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2AB57D99" w14:textId="276761E9"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b/>
                <w:bCs/>
                <w:sz w:val="18"/>
                <w:szCs w:val="18"/>
              </w:rPr>
              <w:t>73</w:t>
            </w:r>
          </w:p>
        </w:tc>
      </w:tr>
      <w:tr w:rsidR="00D246A9" w14:paraId="6FB084CD" w14:textId="77777777" w:rsidTr="00BE6465">
        <w:tc>
          <w:tcPr>
            <w:tcW w:w="8641" w:type="dxa"/>
            <w:tcMar>
              <w:top w:w="0" w:type="dxa"/>
              <w:left w:w="0" w:type="dxa"/>
              <w:bottom w:w="60" w:type="dxa"/>
              <w:right w:w="0" w:type="dxa"/>
            </w:tcMar>
            <w:vAlign w:val="center"/>
            <w:hideMark/>
          </w:tcPr>
          <w:p w14:paraId="0D1BC70B" w14:textId="0FA60120" w:rsidR="00D246A9" w:rsidRPr="00BE6465" w:rsidRDefault="00D246A9" w:rsidP="00BE6465">
            <w:pPr>
              <w:pStyle w:val="NormalWeb"/>
              <w:spacing w:before="0" w:beforeAutospacing="0" w:after="0" w:afterAutospacing="0"/>
              <w:ind w:left="144"/>
              <w:rPr>
                <w:rFonts w:ascii="Arial" w:hAnsi="Arial" w:cs="Arial"/>
                <w:sz w:val="4"/>
                <w:szCs w:val="4"/>
              </w:rPr>
            </w:pPr>
            <w:r>
              <w:rPr>
                <w:rFonts w:ascii="Arial" w:hAnsi="Arial" w:cs="Arial"/>
                <w:sz w:val="18"/>
                <w:szCs w:val="18"/>
              </w:rPr>
              <w:t>Report on Risks of Weapons Development</w:t>
            </w:r>
            <w:r>
              <w:rPr>
                <w:rFonts w:ascii="Arial" w:hAnsi="Arial" w:cs="Arial"/>
                <w:sz w:val="18"/>
                <w:szCs w:val="18"/>
              </w:rPr>
              <w:tab/>
            </w:r>
          </w:p>
        </w:tc>
        <w:tc>
          <w:tcPr>
            <w:tcW w:w="1456" w:type="dxa"/>
            <w:noWrap/>
            <w:tcMar>
              <w:top w:w="0" w:type="dxa"/>
              <w:left w:w="144" w:type="dxa"/>
              <w:bottom w:w="0" w:type="dxa"/>
              <w:right w:w="0" w:type="dxa"/>
            </w:tcMar>
            <w:vAlign w:val="center"/>
            <w:hideMark/>
          </w:tcPr>
          <w:p w14:paraId="5445DEA6" w14:textId="51A3236E"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73C535DE" w14:textId="31F85F23"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b/>
                <w:bCs/>
                <w:sz w:val="18"/>
                <w:szCs w:val="18"/>
              </w:rPr>
              <w:t>75</w:t>
            </w:r>
          </w:p>
        </w:tc>
      </w:tr>
      <w:tr w:rsidR="00D246A9" w14:paraId="29841559" w14:textId="77777777" w:rsidTr="00BE6465">
        <w:tc>
          <w:tcPr>
            <w:tcW w:w="8641" w:type="dxa"/>
            <w:tcMar>
              <w:top w:w="0" w:type="dxa"/>
              <w:left w:w="0" w:type="dxa"/>
              <w:bottom w:w="60" w:type="dxa"/>
              <w:right w:w="0" w:type="dxa"/>
            </w:tcMar>
            <w:vAlign w:val="center"/>
            <w:hideMark/>
          </w:tcPr>
          <w:p w14:paraId="56F7D2A6" w14:textId="20E39CE9" w:rsidR="00D246A9" w:rsidRPr="00BE6465" w:rsidRDefault="00D246A9" w:rsidP="00BE6465">
            <w:pPr>
              <w:pStyle w:val="NormalWeb"/>
              <w:spacing w:before="0" w:beforeAutospacing="0" w:after="0" w:afterAutospacing="0"/>
              <w:ind w:left="144"/>
              <w:rPr>
                <w:rFonts w:ascii="Arial" w:hAnsi="Arial" w:cs="Arial"/>
                <w:sz w:val="4"/>
                <w:szCs w:val="4"/>
              </w:rPr>
            </w:pPr>
            <w:r>
              <w:rPr>
                <w:rFonts w:ascii="Arial" w:hAnsi="Arial" w:cs="Arial"/>
                <w:sz w:val="18"/>
                <w:szCs w:val="18"/>
              </w:rPr>
              <w:t>Report on Climate Risks to Retirement Plan Beneficiaries</w:t>
            </w:r>
            <w:r>
              <w:rPr>
                <w:rFonts w:ascii="Arial" w:hAnsi="Arial" w:cs="Arial"/>
                <w:sz w:val="18"/>
                <w:szCs w:val="18"/>
              </w:rPr>
              <w:tab/>
            </w:r>
          </w:p>
        </w:tc>
        <w:tc>
          <w:tcPr>
            <w:tcW w:w="1456" w:type="dxa"/>
            <w:noWrap/>
            <w:tcMar>
              <w:top w:w="0" w:type="dxa"/>
              <w:left w:w="144" w:type="dxa"/>
              <w:bottom w:w="0" w:type="dxa"/>
              <w:right w:w="0" w:type="dxa"/>
            </w:tcMar>
            <w:vAlign w:val="center"/>
            <w:hideMark/>
          </w:tcPr>
          <w:p w14:paraId="004B36BC" w14:textId="791C4696"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167BE16F" w14:textId="1A0BB80A"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b/>
                <w:bCs/>
                <w:sz w:val="18"/>
                <w:szCs w:val="18"/>
              </w:rPr>
              <w:t>77</w:t>
            </w:r>
          </w:p>
        </w:tc>
      </w:tr>
      <w:tr w:rsidR="00D246A9" w14:paraId="5314818E" w14:textId="77777777" w:rsidTr="00BE6465">
        <w:tc>
          <w:tcPr>
            <w:tcW w:w="8641" w:type="dxa"/>
            <w:tcMar>
              <w:top w:w="0" w:type="dxa"/>
              <w:left w:w="0" w:type="dxa"/>
              <w:bottom w:w="60" w:type="dxa"/>
              <w:right w:w="0" w:type="dxa"/>
            </w:tcMar>
            <w:vAlign w:val="center"/>
            <w:hideMark/>
          </w:tcPr>
          <w:p w14:paraId="0241F386" w14:textId="5281A195" w:rsidR="00D246A9" w:rsidRPr="00BE6465" w:rsidRDefault="00D246A9" w:rsidP="00BE6465">
            <w:pPr>
              <w:pStyle w:val="NormalWeb"/>
              <w:spacing w:before="0" w:beforeAutospacing="0" w:after="0" w:afterAutospacing="0"/>
              <w:ind w:left="144"/>
              <w:rPr>
                <w:rFonts w:ascii="Arial" w:hAnsi="Arial" w:cs="Arial"/>
                <w:sz w:val="4"/>
                <w:szCs w:val="4"/>
              </w:rPr>
            </w:pPr>
            <w:r>
              <w:rPr>
                <w:rFonts w:ascii="Arial" w:hAnsi="Arial" w:cs="Arial"/>
                <w:sz w:val="18"/>
                <w:szCs w:val="18"/>
              </w:rPr>
              <w:t>Report on Tax Transparency</w:t>
            </w:r>
            <w:r>
              <w:rPr>
                <w:rFonts w:ascii="Arial" w:hAnsi="Arial" w:cs="Arial"/>
                <w:sz w:val="18"/>
                <w:szCs w:val="18"/>
              </w:rPr>
              <w:tab/>
            </w:r>
          </w:p>
        </w:tc>
        <w:tc>
          <w:tcPr>
            <w:tcW w:w="1456" w:type="dxa"/>
            <w:noWrap/>
            <w:tcMar>
              <w:top w:w="0" w:type="dxa"/>
              <w:left w:w="144" w:type="dxa"/>
              <w:bottom w:w="0" w:type="dxa"/>
              <w:right w:w="0" w:type="dxa"/>
            </w:tcMar>
            <w:vAlign w:val="center"/>
            <w:hideMark/>
          </w:tcPr>
          <w:p w14:paraId="16058CC7" w14:textId="6AC5D4E5"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232810AD" w14:textId="25FFCB00"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b/>
                <w:bCs/>
                <w:sz w:val="18"/>
                <w:szCs w:val="18"/>
              </w:rPr>
              <w:t>79</w:t>
            </w:r>
          </w:p>
        </w:tc>
      </w:tr>
      <w:tr w:rsidR="00D246A9" w14:paraId="601F37B9" w14:textId="77777777" w:rsidTr="00BE6465">
        <w:tc>
          <w:tcPr>
            <w:tcW w:w="8641" w:type="dxa"/>
            <w:tcMar>
              <w:top w:w="0" w:type="dxa"/>
              <w:left w:w="0" w:type="dxa"/>
              <w:bottom w:w="60" w:type="dxa"/>
              <w:right w:w="0" w:type="dxa"/>
            </w:tcMar>
            <w:vAlign w:val="center"/>
            <w:hideMark/>
          </w:tcPr>
          <w:p w14:paraId="77D913E0" w14:textId="4A5CFCFD" w:rsidR="00D246A9" w:rsidRPr="00BE6465" w:rsidRDefault="00D246A9" w:rsidP="00BE6465">
            <w:pPr>
              <w:pStyle w:val="NormalWeb"/>
              <w:spacing w:before="0" w:beforeAutospacing="0" w:after="0" w:afterAutospacing="0"/>
              <w:ind w:left="144"/>
              <w:rPr>
                <w:rFonts w:ascii="Arial" w:hAnsi="Arial" w:cs="Arial"/>
                <w:sz w:val="4"/>
                <w:szCs w:val="4"/>
              </w:rPr>
            </w:pPr>
            <w:r>
              <w:rPr>
                <w:rFonts w:ascii="Arial" w:hAnsi="Arial" w:cs="Arial"/>
                <w:sz w:val="18"/>
                <w:szCs w:val="18"/>
              </w:rPr>
              <w:t>Report on Data Operations in Human Rights Hotspots</w:t>
            </w:r>
            <w:r>
              <w:rPr>
                <w:rFonts w:ascii="Arial" w:hAnsi="Arial" w:cs="Arial"/>
                <w:sz w:val="18"/>
                <w:szCs w:val="18"/>
              </w:rPr>
              <w:tab/>
            </w:r>
          </w:p>
        </w:tc>
        <w:tc>
          <w:tcPr>
            <w:tcW w:w="1456" w:type="dxa"/>
            <w:noWrap/>
            <w:tcMar>
              <w:top w:w="0" w:type="dxa"/>
              <w:left w:w="144" w:type="dxa"/>
              <w:bottom w:w="0" w:type="dxa"/>
              <w:right w:w="0" w:type="dxa"/>
            </w:tcMar>
            <w:vAlign w:val="center"/>
            <w:hideMark/>
          </w:tcPr>
          <w:p w14:paraId="69FCE646" w14:textId="0B922A69"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719AF112" w14:textId="76FA8D5B"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b/>
                <w:bCs/>
                <w:sz w:val="18"/>
                <w:szCs w:val="18"/>
              </w:rPr>
              <w:t>81</w:t>
            </w:r>
          </w:p>
        </w:tc>
      </w:tr>
      <w:tr w:rsidR="00D246A9" w14:paraId="773E86DC" w14:textId="77777777" w:rsidTr="00BE6465">
        <w:tc>
          <w:tcPr>
            <w:tcW w:w="8641" w:type="dxa"/>
            <w:tcMar>
              <w:top w:w="0" w:type="dxa"/>
              <w:left w:w="0" w:type="dxa"/>
              <w:bottom w:w="60" w:type="dxa"/>
              <w:right w:w="0" w:type="dxa"/>
            </w:tcMar>
            <w:vAlign w:val="center"/>
            <w:hideMark/>
          </w:tcPr>
          <w:p w14:paraId="06B45147" w14:textId="149433AA" w:rsidR="00D246A9" w:rsidRPr="00BE6465" w:rsidRDefault="00D246A9" w:rsidP="00BE6465">
            <w:pPr>
              <w:pStyle w:val="NormalWeb"/>
              <w:spacing w:before="0" w:beforeAutospacing="0" w:after="0" w:afterAutospacing="0"/>
              <w:ind w:left="144"/>
              <w:rPr>
                <w:rFonts w:ascii="Arial" w:hAnsi="Arial" w:cs="Arial"/>
                <w:sz w:val="4"/>
                <w:szCs w:val="4"/>
              </w:rPr>
            </w:pPr>
            <w:r>
              <w:rPr>
                <w:rFonts w:ascii="Arial" w:hAnsi="Arial" w:cs="Arial"/>
                <w:sz w:val="18"/>
                <w:szCs w:val="18"/>
              </w:rPr>
              <w:t>Mandate for Third-Party Political Reporting</w:t>
            </w:r>
            <w:r>
              <w:rPr>
                <w:rFonts w:ascii="Arial" w:hAnsi="Arial" w:cs="Arial"/>
                <w:sz w:val="18"/>
                <w:szCs w:val="18"/>
              </w:rPr>
              <w:tab/>
            </w:r>
          </w:p>
        </w:tc>
        <w:tc>
          <w:tcPr>
            <w:tcW w:w="1456" w:type="dxa"/>
            <w:noWrap/>
            <w:tcMar>
              <w:top w:w="0" w:type="dxa"/>
              <w:left w:w="144" w:type="dxa"/>
              <w:bottom w:w="0" w:type="dxa"/>
              <w:right w:w="0" w:type="dxa"/>
            </w:tcMar>
            <w:vAlign w:val="center"/>
            <w:hideMark/>
          </w:tcPr>
          <w:p w14:paraId="3BB41E8D" w14:textId="035E7F6D"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3B4F961C" w14:textId="00DE9B79"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b/>
                <w:bCs/>
                <w:sz w:val="18"/>
                <w:szCs w:val="18"/>
              </w:rPr>
              <w:t>83</w:t>
            </w:r>
          </w:p>
        </w:tc>
      </w:tr>
      <w:tr w:rsidR="00D246A9" w14:paraId="62DEF775" w14:textId="77777777" w:rsidTr="00BE6465">
        <w:tc>
          <w:tcPr>
            <w:tcW w:w="8641" w:type="dxa"/>
            <w:tcMar>
              <w:top w:w="0" w:type="dxa"/>
              <w:left w:w="0" w:type="dxa"/>
              <w:bottom w:w="60" w:type="dxa"/>
              <w:right w:w="0" w:type="dxa"/>
            </w:tcMar>
            <w:vAlign w:val="center"/>
            <w:hideMark/>
          </w:tcPr>
          <w:p w14:paraId="07386C0E" w14:textId="4223ADC7" w:rsidR="00D246A9" w:rsidRPr="00BE6465" w:rsidRDefault="00D246A9" w:rsidP="00BE6465">
            <w:pPr>
              <w:pStyle w:val="NormalWeb"/>
              <w:spacing w:before="0" w:beforeAutospacing="0" w:after="0" w:afterAutospacing="0"/>
              <w:ind w:left="144"/>
              <w:rPr>
                <w:rFonts w:ascii="Arial" w:hAnsi="Arial" w:cs="Arial"/>
                <w:sz w:val="4"/>
                <w:szCs w:val="4"/>
              </w:rPr>
            </w:pPr>
            <w:r>
              <w:rPr>
                <w:rFonts w:ascii="Arial" w:hAnsi="Arial" w:cs="Arial"/>
                <w:sz w:val="18"/>
                <w:szCs w:val="18"/>
              </w:rPr>
              <w:t>Report on AI Misinformation and Disinformation</w:t>
            </w:r>
            <w:r>
              <w:rPr>
                <w:rFonts w:ascii="Arial" w:hAnsi="Arial" w:cs="Arial"/>
                <w:sz w:val="18"/>
                <w:szCs w:val="18"/>
              </w:rPr>
              <w:tab/>
            </w:r>
          </w:p>
        </w:tc>
        <w:tc>
          <w:tcPr>
            <w:tcW w:w="1456" w:type="dxa"/>
            <w:noWrap/>
            <w:tcMar>
              <w:top w:w="0" w:type="dxa"/>
              <w:left w:w="144" w:type="dxa"/>
              <w:bottom w:w="0" w:type="dxa"/>
              <w:right w:w="0" w:type="dxa"/>
            </w:tcMar>
            <w:vAlign w:val="center"/>
            <w:hideMark/>
          </w:tcPr>
          <w:p w14:paraId="099F64CE" w14:textId="6F090502"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4AA624CF" w14:textId="32AA4494" w:rsidR="00D246A9" w:rsidRPr="00BE6465" w:rsidRDefault="00D246A9" w:rsidP="00BE6465">
            <w:pPr>
              <w:pStyle w:val="NormalWeb"/>
              <w:spacing w:before="0" w:beforeAutospacing="0" w:after="0" w:afterAutospacing="0"/>
              <w:jc w:val="center"/>
              <w:rPr>
                <w:rFonts w:ascii="Arial" w:hAnsi="Arial" w:cs="Arial"/>
                <w:sz w:val="4"/>
                <w:szCs w:val="4"/>
              </w:rPr>
            </w:pPr>
            <w:r>
              <w:rPr>
                <w:rFonts w:ascii="Arial" w:hAnsi="Arial" w:cs="Arial"/>
                <w:b/>
                <w:bCs/>
                <w:sz w:val="18"/>
                <w:szCs w:val="18"/>
              </w:rPr>
              <w:t>85</w:t>
            </w:r>
          </w:p>
        </w:tc>
      </w:tr>
    </w:tbl>
    <w:p w14:paraId="1EC830AD" w14:textId="05B84FE9" w:rsidR="00D246A9" w:rsidRPr="00306F7C" w:rsidRDefault="00D246A9" w:rsidP="00647B28">
      <w:pPr>
        <w:pStyle w:val="NormalWeb"/>
        <w:spacing w:beforeAutospacing="0" w:after="0" w:afterAutospacing="0"/>
        <w:rPr>
          <w:sz w:val="2"/>
          <w:szCs w:val="2"/>
        </w:rPr>
      </w:pPr>
      <w:r>
        <w:rPr>
          <w:sz w:val="2"/>
          <w:szCs w:val="2"/>
        </w:rPr>
        <w:t> </w:t>
      </w:r>
    </w:p>
    <w:p w14:paraId="37D9279E" w14:textId="40D4561C" w:rsidR="002A2EDB" w:rsidRDefault="002A2EDB">
      <w:pPr>
        <w:rPr>
          <w:rFonts w:ascii="Arial" w:hAnsi="Arial" w:cs="Arial"/>
          <w:b/>
          <w:bCs/>
          <w:color w:val="0075C9"/>
          <w:sz w:val="28"/>
          <w:szCs w:val="28"/>
        </w:rPr>
      </w:pPr>
      <w:r>
        <w:rPr>
          <w:rFonts w:ascii="Arial" w:hAnsi="Arial" w:cs="Arial"/>
          <w:b/>
          <w:bCs/>
          <w:color w:val="0075C9"/>
          <w:sz w:val="28"/>
          <w:szCs w:val="28"/>
        </w:rPr>
        <w:br w:type="page"/>
      </w:r>
    </w:p>
    <w:p w14:paraId="01002947" w14:textId="0ADE5EB0" w:rsidR="00D246A9" w:rsidRDefault="002A2EDB">
      <w:pPr>
        <w:pStyle w:val="NormalWeb"/>
        <w:spacing w:before="0" w:beforeAutospacing="0" w:after="0" w:afterAutospacing="0"/>
        <w:rPr>
          <w:rFonts w:ascii="Arial" w:hAnsi="Arial" w:cs="Arial"/>
          <w:sz w:val="28"/>
          <w:szCs w:val="28"/>
        </w:rPr>
      </w:pPr>
      <w:r>
        <w:rPr>
          <w:noProof/>
          <w:sz w:val="2"/>
          <w:szCs w:val="2"/>
        </w:rPr>
        <w:lastRenderedPageBreak/>
        <mc:AlternateContent>
          <mc:Choice Requires="wps">
            <w:drawing>
              <wp:anchor distT="0" distB="0" distL="114300" distR="114300" simplePos="0" relativeHeight="251662335" behindDoc="1" locked="0" layoutInCell="1" allowOverlap="1" wp14:anchorId="5E3CB573" wp14:editId="51957D30">
                <wp:simplePos x="0" y="0"/>
                <wp:positionH relativeFrom="column">
                  <wp:posOffset>-164269</wp:posOffset>
                </wp:positionH>
                <wp:positionV relativeFrom="paragraph">
                  <wp:posOffset>-125144</wp:posOffset>
                </wp:positionV>
                <wp:extent cx="7092542" cy="8657590"/>
                <wp:effectExtent l="19050" t="19050" r="13335" b="10160"/>
                <wp:wrapNone/>
                <wp:docPr id="2055514795" name="Rectangle 2055514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542" cy="8657590"/>
                        </a:xfrm>
                        <a:prstGeom prst="rect">
                          <a:avLst/>
                        </a:prstGeom>
                        <a:solidFill>
                          <a:srgbClr val="FFFFFF"/>
                        </a:solidFill>
                        <a:ln w="28575">
                          <a:solidFill>
                            <a:srgbClr val="0075C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91448" id="Rectangle 2055514795" o:spid="_x0000_s1026" alt="&quot;&quot;" style="position:absolute;margin-left:-12.95pt;margin-top:-9.85pt;width:558.45pt;height:681.7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" strokecolor="#0075c9" strokeweight="2.25pt"/>
            </w:pict>
          </mc:Fallback>
        </mc:AlternateContent>
      </w:r>
      <w:r w:rsidR="00D246A9">
        <w:rPr>
          <w:rFonts w:ascii="Arial" w:hAnsi="Arial" w:cs="Arial"/>
          <w:b/>
          <w:bCs/>
          <w:color w:val="0075C9"/>
          <w:sz w:val="28"/>
          <w:szCs w:val="28"/>
        </w:rPr>
        <w:t xml:space="preserve">Our Director Nominees </w:t>
      </w:r>
    </w:p>
    <w:p w14:paraId="7E3C46C1" w14:textId="66C6FDB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See Part 1 – Governance and our Board of Directors for more information. </w:t>
      </w:r>
    </w:p>
    <w:p w14:paraId="697362A2" w14:textId="5D08AB0E"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following table provides summary information about each of the 12 director nominees. Each director is elected annually by a majority of votes cast. John Thompson and Padmasree Warrior are not seeking re-election and their Board service will end on the date of the Annual Meeting. John Thompson currently serves as a member of the Governance and Nominating Committee and a member of the Environmental, Social, and Public Policy Committee. Padmasree Warrior currently serves as a member of the Compensation Committee. The Board has nominated Catherine MacGregor and Mark Mason for election as directors. If elected, their terms will begin on December 7, 2023. </w:t>
      </w:r>
    </w:p>
    <w:p w14:paraId="0A9BC449"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6A0" w:firstRow="1" w:lastRow="0" w:firstColumn="1" w:lastColumn="0" w:noHBand="1" w:noVBand="1"/>
      </w:tblPr>
      <w:tblGrid>
        <w:gridCol w:w="6373"/>
        <w:gridCol w:w="598"/>
        <w:gridCol w:w="1036"/>
        <w:gridCol w:w="1337"/>
        <w:gridCol w:w="1456"/>
      </w:tblGrid>
      <w:tr w:rsidR="00D246A9" w14:paraId="6E29CDB8" w14:textId="77777777" w:rsidTr="00BE0DB9">
        <w:trPr>
          <w:cantSplit/>
          <w:tblHeader/>
        </w:trPr>
        <w:tc>
          <w:tcPr>
            <w:tcW w:w="6373" w:type="dxa"/>
            <w:tcBorders>
              <w:bottom w:val="single" w:sz="6" w:space="0" w:color="000000"/>
            </w:tcBorders>
            <w:vAlign w:val="bottom"/>
            <w:hideMark/>
          </w:tcPr>
          <w:p w14:paraId="00A99316" w14:textId="77777777" w:rsidR="00D246A9" w:rsidRPr="00306F7C" w:rsidRDefault="00D246A9">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Name</w:t>
            </w:r>
          </w:p>
          <w:p w14:paraId="047C6BDE" w14:textId="77777777" w:rsidR="00D246A9"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Occupation</w:t>
            </w:r>
          </w:p>
        </w:tc>
        <w:tc>
          <w:tcPr>
            <w:tcW w:w="598" w:type="dxa"/>
            <w:tcBorders>
              <w:bottom w:val="single" w:sz="6" w:space="0" w:color="000000"/>
            </w:tcBorders>
            <w:tcMar>
              <w:top w:w="0" w:type="dxa"/>
              <w:left w:w="144" w:type="dxa"/>
              <w:bottom w:w="0" w:type="dxa"/>
              <w:right w:w="0" w:type="dxa"/>
            </w:tcMar>
            <w:vAlign w:val="bottom"/>
            <w:hideMark/>
          </w:tcPr>
          <w:p w14:paraId="3442D1F5" w14:textId="77777777" w:rsidR="00D246A9" w:rsidRDefault="00D246A9">
            <w:pPr>
              <w:jc w:val="center"/>
              <w:rPr>
                <w:rFonts w:ascii="Arial" w:hAnsi="Arial" w:cs="Arial"/>
                <w:sz w:val="18"/>
                <w:szCs w:val="18"/>
              </w:rPr>
            </w:pPr>
            <w:r>
              <w:rPr>
                <w:rFonts w:ascii="Arial" w:hAnsi="Arial" w:cs="Arial"/>
                <w:b/>
                <w:bCs/>
                <w:sz w:val="18"/>
                <w:szCs w:val="18"/>
              </w:rPr>
              <w:t>Age</w:t>
            </w:r>
          </w:p>
        </w:tc>
        <w:tc>
          <w:tcPr>
            <w:tcW w:w="1036" w:type="dxa"/>
            <w:tcBorders>
              <w:bottom w:val="single" w:sz="6" w:space="0" w:color="000000"/>
            </w:tcBorders>
            <w:tcMar>
              <w:top w:w="0" w:type="dxa"/>
              <w:left w:w="144" w:type="dxa"/>
              <w:bottom w:w="0" w:type="dxa"/>
              <w:right w:w="0" w:type="dxa"/>
            </w:tcMar>
            <w:vAlign w:val="bottom"/>
            <w:hideMark/>
          </w:tcPr>
          <w:p w14:paraId="027D6CB9" w14:textId="77777777" w:rsidR="00D246A9" w:rsidRPr="00306F7C" w:rsidRDefault="00D246A9">
            <w:pPr>
              <w:pStyle w:val="NormalWeb"/>
              <w:spacing w:before="0" w:beforeAutospacing="0" w:after="0" w:afterAutospacing="0"/>
              <w:jc w:val="center"/>
              <w:rPr>
                <w:rFonts w:ascii="Arial" w:hAnsi="Arial" w:cs="Arial"/>
                <w:sz w:val="18"/>
                <w:szCs w:val="18"/>
              </w:rPr>
            </w:pPr>
            <w:r>
              <w:rPr>
                <w:rFonts w:ascii="Arial" w:hAnsi="Arial" w:cs="Arial"/>
                <w:b/>
                <w:bCs/>
                <w:sz w:val="18"/>
                <w:szCs w:val="18"/>
              </w:rPr>
              <w:t>Director</w:t>
            </w:r>
          </w:p>
          <w:p w14:paraId="20C098B0"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Since</w:t>
            </w:r>
          </w:p>
        </w:tc>
        <w:tc>
          <w:tcPr>
            <w:tcW w:w="1337" w:type="dxa"/>
            <w:tcBorders>
              <w:bottom w:val="single" w:sz="6" w:space="0" w:color="000000"/>
            </w:tcBorders>
            <w:tcMar>
              <w:top w:w="0" w:type="dxa"/>
              <w:left w:w="144" w:type="dxa"/>
              <w:bottom w:w="0" w:type="dxa"/>
              <w:right w:w="0" w:type="dxa"/>
            </w:tcMar>
            <w:vAlign w:val="bottom"/>
            <w:hideMark/>
          </w:tcPr>
          <w:p w14:paraId="17AE5EDD" w14:textId="77777777" w:rsidR="00D246A9" w:rsidRDefault="00D246A9">
            <w:pPr>
              <w:jc w:val="center"/>
              <w:rPr>
                <w:rFonts w:ascii="Arial" w:hAnsi="Arial" w:cs="Arial"/>
                <w:sz w:val="18"/>
                <w:szCs w:val="18"/>
              </w:rPr>
            </w:pPr>
            <w:r>
              <w:rPr>
                <w:rFonts w:ascii="Arial" w:hAnsi="Arial" w:cs="Arial"/>
                <w:b/>
                <w:bCs/>
                <w:sz w:val="18"/>
                <w:szCs w:val="18"/>
              </w:rPr>
              <w:t>Independent</w:t>
            </w:r>
          </w:p>
        </w:tc>
        <w:tc>
          <w:tcPr>
            <w:tcW w:w="1456" w:type="dxa"/>
            <w:tcBorders>
              <w:bottom w:val="single" w:sz="6" w:space="0" w:color="000000"/>
            </w:tcBorders>
            <w:tcMar>
              <w:top w:w="0" w:type="dxa"/>
              <w:left w:w="144" w:type="dxa"/>
              <w:bottom w:w="0" w:type="dxa"/>
              <w:right w:w="0" w:type="dxa"/>
            </w:tcMar>
            <w:vAlign w:val="bottom"/>
            <w:hideMark/>
          </w:tcPr>
          <w:p w14:paraId="1779F8A0" w14:textId="77777777" w:rsidR="00D246A9" w:rsidRPr="00306F7C" w:rsidRDefault="00D246A9">
            <w:pPr>
              <w:pStyle w:val="NormalWeb"/>
              <w:spacing w:before="0" w:beforeAutospacing="0" w:after="0" w:afterAutospacing="0"/>
              <w:jc w:val="center"/>
              <w:rPr>
                <w:rFonts w:ascii="Arial" w:hAnsi="Arial" w:cs="Arial"/>
                <w:sz w:val="18"/>
                <w:szCs w:val="18"/>
              </w:rPr>
            </w:pPr>
            <w:r>
              <w:rPr>
                <w:rFonts w:ascii="Arial" w:hAnsi="Arial" w:cs="Arial"/>
                <w:b/>
                <w:bCs/>
                <w:sz w:val="18"/>
                <w:szCs w:val="18"/>
              </w:rPr>
              <w:t> Other Public </w:t>
            </w:r>
            <w:r>
              <w:rPr>
                <w:rFonts w:ascii="Arial" w:hAnsi="Arial" w:cs="Arial"/>
                <w:b/>
                <w:bCs/>
                <w:sz w:val="18"/>
                <w:szCs w:val="18"/>
              </w:rPr>
              <w:t> </w:t>
            </w:r>
          </w:p>
          <w:p w14:paraId="3D43D406"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Boards</w:t>
            </w:r>
            <w:r>
              <w:rPr>
                <w:rFonts w:ascii="Arial" w:hAnsi="Arial" w:cs="Arial"/>
                <w:b/>
                <w:bCs/>
                <w:sz w:val="18"/>
                <w:szCs w:val="18"/>
              </w:rPr>
              <w:t> </w:t>
            </w:r>
          </w:p>
        </w:tc>
      </w:tr>
      <w:tr w:rsidR="00D246A9" w14:paraId="566D91ED" w14:textId="77777777" w:rsidTr="00BE0DB9">
        <w:trPr>
          <w:cantSplit/>
        </w:trPr>
        <w:tc>
          <w:tcPr>
            <w:tcW w:w="6373" w:type="dxa"/>
            <w:tcBorders>
              <w:bottom w:val="single" w:sz="6" w:space="0" w:color="0075C9"/>
            </w:tcBorders>
            <w:tcMar>
              <w:top w:w="0" w:type="dxa"/>
              <w:left w:w="0" w:type="dxa"/>
              <w:bottom w:w="40" w:type="dxa"/>
              <w:right w:w="0" w:type="dxa"/>
            </w:tcMar>
            <w:hideMark/>
          </w:tcPr>
          <w:p w14:paraId="1D1FAC40"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Reid G. Hoffman</w:t>
            </w:r>
          </w:p>
          <w:p w14:paraId="631FD928"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Partner, Greylock Partners</w:t>
            </w:r>
          </w:p>
        </w:tc>
        <w:tc>
          <w:tcPr>
            <w:tcW w:w="598" w:type="dxa"/>
            <w:tcBorders>
              <w:bottom w:val="single" w:sz="6" w:space="0" w:color="0075C9"/>
            </w:tcBorders>
            <w:noWrap/>
            <w:tcMar>
              <w:top w:w="0" w:type="dxa"/>
              <w:left w:w="144" w:type="dxa"/>
              <w:bottom w:w="0" w:type="dxa"/>
              <w:right w:w="0" w:type="dxa"/>
            </w:tcMar>
            <w:vAlign w:val="center"/>
            <w:hideMark/>
          </w:tcPr>
          <w:p w14:paraId="57DABF6D" w14:textId="77777777" w:rsidR="00D246A9" w:rsidRDefault="00D246A9">
            <w:pPr>
              <w:jc w:val="center"/>
              <w:rPr>
                <w:rFonts w:ascii="Arial" w:hAnsi="Arial" w:cs="Arial"/>
                <w:sz w:val="18"/>
                <w:szCs w:val="18"/>
              </w:rPr>
            </w:pPr>
            <w:r>
              <w:rPr>
                <w:rFonts w:ascii="Arial" w:hAnsi="Arial" w:cs="Arial"/>
                <w:sz w:val="18"/>
                <w:szCs w:val="18"/>
              </w:rPr>
              <w:t>56</w:t>
            </w:r>
          </w:p>
        </w:tc>
        <w:tc>
          <w:tcPr>
            <w:tcW w:w="1036" w:type="dxa"/>
            <w:tcBorders>
              <w:bottom w:val="single" w:sz="6" w:space="0" w:color="0075C9"/>
            </w:tcBorders>
            <w:noWrap/>
            <w:tcMar>
              <w:top w:w="0" w:type="dxa"/>
              <w:left w:w="144" w:type="dxa"/>
              <w:bottom w:w="0" w:type="dxa"/>
              <w:right w:w="0" w:type="dxa"/>
            </w:tcMar>
            <w:vAlign w:val="center"/>
            <w:hideMark/>
          </w:tcPr>
          <w:p w14:paraId="7DEEA803" w14:textId="77777777" w:rsidR="00D246A9" w:rsidRDefault="00D246A9">
            <w:pPr>
              <w:jc w:val="center"/>
              <w:rPr>
                <w:rFonts w:ascii="Arial" w:hAnsi="Arial" w:cs="Arial"/>
                <w:sz w:val="18"/>
                <w:szCs w:val="18"/>
              </w:rPr>
            </w:pPr>
            <w:r>
              <w:rPr>
                <w:rFonts w:ascii="Arial" w:hAnsi="Arial" w:cs="Arial"/>
                <w:sz w:val="18"/>
                <w:szCs w:val="18"/>
              </w:rPr>
              <w:t>2017</w:t>
            </w:r>
          </w:p>
        </w:tc>
        <w:tc>
          <w:tcPr>
            <w:tcW w:w="1337" w:type="dxa"/>
            <w:tcBorders>
              <w:bottom w:val="single" w:sz="6" w:space="0" w:color="0075C9"/>
            </w:tcBorders>
            <w:noWrap/>
            <w:tcMar>
              <w:top w:w="0" w:type="dxa"/>
              <w:left w:w="144" w:type="dxa"/>
              <w:bottom w:w="0" w:type="dxa"/>
              <w:right w:w="0" w:type="dxa"/>
            </w:tcMar>
            <w:vAlign w:val="center"/>
            <w:hideMark/>
          </w:tcPr>
          <w:p w14:paraId="47B07F1D"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59095779" w14:textId="77777777" w:rsidR="00D246A9" w:rsidRDefault="00D246A9">
            <w:pPr>
              <w:jc w:val="center"/>
              <w:rPr>
                <w:rFonts w:ascii="Arial" w:hAnsi="Arial" w:cs="Arial"/>
                <w:sz w:val="18"/>
                <w:szCs w:val="18"/>
              </w:rPr>
            </w:pPr>
            <w:r>
              <w:rPr>
                <w:rFonts w:ascii="Arial" w:hAnsi="Arial" w:cs="Arial"/>
                <w:sz w:val="18"/>
                <w:szCs w:val="18"/>
              </w:rPr>
              <w:t>2</w:t>
            </w:r>
            <w:r>
              <w:rPr>
                <w:rFonts w:ascii="Arial" w:hAnsi="Arial" w:cs="Arial"/>
                <w:sz w:val="18"/>
                <w:szCs w:val="18"/>
              </w:rPr>
              <w:t> </w:t>
            </w:r>
          </w:p>
        </w:tc>
      </w:tr>
      <w:tr w:rsidR="00D246A9" w14:paraId="4190DCC7" w14:textId="77777777" w:rsidTr="00BE0DB9">
        <w:trPr>
          <w:cantSplit/>
        </w:trPr>
        <w:tc>
          <w:tcPr>
            <w:tcW w:w="6373" w:type="dxa"/>
            <w:tcBorders>
              <w:bottom w:val="single" w:sz="6" w:space="0" w:color="0075C9"/>
            </w:tcBorders>
            <w:tcMar>
              <w:top w:w="0" w:type="dxa"/>
              <w:left w:w="0" w:type="dxa"/>
              <w:bottom w:w="40" w:type="dxa"/>
              <w:right w:w="0" w:type="dxa"/>
            </w:tcMar>
            <w:hideMark/>
          </w:tcPr>
          <w:p w14:paraId="457E7802"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Hugh F. Johnston</w:t>
            </w:r>
          </w:p>
          <w:p w14:paraId="1FCECBC1"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Vice Chairman, Executive Vice President, and CFO, PepsiCo, Inc.</w:t>
            </w:r>
          </w:p>
        </w:tc>
        <w:tc>
          <w:tcPr>
            <w:tcW w:w="598" w:type="dxa"/>
            <w:tcBorders>
              <w:bottom w:val="single" w:sz="6" w:space="0" w:color="0075C9"/>
            </w:tcBorders>
            <w:noWrap/>
            <w:tcMar>
              <w:top w:w="0" w:type="dxa"/>
              <w:left w:w="144" w:type="dxa"/>
              <w:bottom w:w="0" w:type="dxa"/>
              <w:right w:w="0" w:type="dxa"/>
            </w:tcMar>
            <w:vAlign w:val="center"/>
            <w:hideMark/>
          </w:tcPr>
          <w:p w14:paraId="5B6B7B96" w14:textId="77777777" w:rsidR="00D246A9" w:rsidRDefault="00D246A9">
            <w:pPr>
              <w:jc w:val="center"/>
              <w:rPr>
                <w:rFonts w:ascii="Arial" w:hAnsi="Arial" w:cs="Arial"/>
                <w:sz w:val="18"/>
                <w:szCs w:val="18"/>
              </w:rPr>
            </w:pPr>
            <w:r>
              <w:rPr>
                <w:rFonts w:ascii="Arial" w:hAnsi="Arial" w:cs="Arial"/>
                <w:sz w:val="18"/>
                <w:szCs w:val="18"/>
              </w:rPr>
              <w:t>62</w:t>
            </w:r>
          </w:p>
        </w:tc>
        <w:tc>
          <w:tcPr>
            <w:tcW w:w="1036" w:type="dxa"/>
            <w:tcBorders>
              <w:bottom w:val="single" w:sz="6" w:space="0" w:color="0075C9"/>
            </w:tcBorders>
            <w:noWrap/>
            <w:tcMar>
              <w:top w:w="0" w:type="dxa"/>
              <w:left w:w="144" w:type="dxa"/>
              <w:bottom w:w="0" w:type="dxa"/>
              <w:right w:w="0" w:type="dxa"/>
            </w:tcMar>
            <w:vAlign w:val="center"/>
            <w:hideMark/>
          </w:tcPr>
          <w:p w14:paraId="4571067A" w14:textId="77777777" w:rsidR="00D246A9" w:rsidRDefault="00D246A9">
            <w:pPr>
              <w:jc w:val="center"/>
              <w:rPr>
                <w:rFonts w:ascii="Arial" w:hAnsi="Arial" w:cs="Arial"/>
                <w:sz w:val="18"/>
                <w:szCs w:val="18"/>
              </w:rPr>
            </w:pPr>
            <w:r>
              <w:rPr>
                <w:rFonts w:ascii="Arial" w:hAnsi="Arial" w:cs="Arial"/>
                <w:sz w:val="18"/>
                <w:szCs w:val="18"/>
              </w:rPr>
              <w:t>2017</w:t>
            </w:r>
          </w:p>
        </w:tc>
        <w:tc>
          <w:tcPr>
            <w:tcW w:w="1337" w:type="dxa"/>
            <w:tcBorders>
              <w:bottom w:val="single" w:sz="6" w:space="0" w:color="0075C9"/>
            </w:tcBorders>
            <w:noWrap/>
            <w:tcMar>
              <w:top w:w="0" w:type="dxa"/>
              <w:left w:w="144" w:type="dxa"/>
              <w:bottom w:w="0" w:type="dxa"/>
              <w:right w:w="0" w:type="dxa"/>
            </w:tcMar>
            <w:vAlign w:val="center"/>
            <w:hideMark/>
          </w:tcPr>
          <w:p w14:paraId="1C12601F"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07FE4B06" w14:textId="77777777" w:rsidR="00D246A9" w:rsidRDefault="00D246A9">
            <w:pPr>
              <w:jc w:val="center"/>
              <w:rPr>
                <w:rFonts w:ascii="Arial" w:hAnsi="Arial" w:cs="Arial"/>
                <w:sz w:val="18"/>
                <w:szCs w:val="18"/>
              </w:rPr>
            </w:pPr>
            <w:r>
              <w:rPr>
                <w:rFonts w:ascii="Arial" w:hAnsi="Arial" w:cs="Arial"/>
                <w:sz w:val="18"/>
                <w:szCs w:val="18"/>
              </w:rPr>
              <w:t>1</w:t>
            </w:r>
            <w:r>
              <w:rPr>
                <w:rFonts w:ascii="Arial" w:hAnsi="Arial" w:cs="Arial"/>
                <w:sz w:val="18"/>
                <w:szCs w:val="18"/>
              </w:rPr>
              <w:t> </w:t>
            </w:r>
          </w:p>
        </w:tc>
      </w:tr>
      <w:tr w:rsidR="00D246A9" w14:paraId="6E17B58D" w14:textId="77777777" w:rsidTr="00BE0DB9">
        <w:trPr>
          <w:cantSplit/>
        </w:trPr>
        <w:tc>
          <w:tcPr>
            <w:tcW w:w="6373" w:type="dxa"/>
            <w:tcBorders>
              <w:bottom w:val="single" w:sz="6" w:space="0" w:color="0075C9"/>
            </w:tcBorders>
            <w:tcMar>
              <w:top w:w="0" w:type="dxa"/>
              <w:left w:w="0" w:type="dxa"/>
              <w:bottom w:w="40" w:type="dxa"/>
              <w:right w:w="0" w:type="dxa"/>
            </w:tcMar>
            <w:hideMark/>
          </w:tcPr>
          <w:p w14:paraId="2698C5BE"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Teri L. List</w:t>
            </w:r>
          </w:p>
          <w:p w14:paraId="4DE6C55E"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Former Executive Vice President and CFO, The Gap, Inc.</w:t>
            </w:r>
          </w:p>
        </w:tc>
        <w:tc>
          <w:tcPr>
            <w:tcW w:w="598" w:type="dxa"/>
            <w:tcBorders>
              <w:bottom w:val="single" w:sz="6" w:space="0" w:color="0075C9"/>
            </w:tcBorders>
            <w:noWrap/>
            <w:tcMar>
              <w:top w:w="0" w:type="dxa"/>
              <w:left w:w="144" w:type="dxa"/>
              <w:bottom w:w="0" w:type="dxa"/>
              <w:right w:w="0" w:type="dxa"/>
            </w:tcMar>
            <w:vAlign w:val="center"/>
            <w:hideMark/>
          </w:tcPr>
          <w:p w14:paraId="292E7B98" w14:textId="77777777" w:rsidR="00D246A9" w:rsidRDefault="00D246A9">
            <w:pPr>
              <w:jc w:val="center"/>
              <w:rPr>
                <w:rFonts w:ascii="Arial" w:hAnsi="Arial" w:cs="Arial"/>
                <w:sz w:val="18"/>
                <w:szCs w:val="18"/>
              </w:rPr>
            </w:pPr>
            <w:r>
              <w:rPr>
                <w:rFonts w:ascii="Arial" w:hAnsi="Arial" w:cs="Arial"/>
                <w:sz w:val="18"/>
                <w:szCs w:val="18"/>
              </w:rPr>
              <w:t>60</w:t>
            </w:r>
          </w:p>
        </w:tc>
        <w:tc>
          <w:tcPr>
            <w:tcW w:w="1036" w:type="dxa"/>
            <w:tcBorders>
              <w:bottom w:val="single" w:sz="6" w:space="0" w:color="0075C9"/>
            </w:tcBorders>
            <w:noWrap/>
            <w:tcMar>
              <w:top w:w="0" w:type="dxa"/>
              <w:left w:w="144" w:type="dxa"/>
              <w:bottom w:w="0" w:type="dxa"/>
              <w:right w:w="0" w:type="dxa"/>
            </w:tcMar>
            <w:vAlign w:val="center"/>
            <w:hideMark/>
          </w:tcPr>
          <w:p w14:paraId="774844E4" w14:textId="77777777" w:rsidR="00D246A9" w:rsidRDefault="00D246A9">
            <w:pPr>
              <w:jc w:val="center"/>
              <w:rPr>
                <w:rFonts w:ascii="Arial" w:hAnsi="Arial" w:cs="Arial"/>
                <w:sz w:val="18"/>
                <w:szCs w:val="18"/>
              </w:rPr>
            </w:pPr>
            <w:r>
              <w:rPr>
                <w:rFonts w:ascii="Arial" w:hAnsi="Arial" w:cs="Arial"/>
                <w:sz w:val="18"/>
                <w:szCs w:val="18"/>
              </w:rPr>
              <w:t>2014</w:t>
            </w:r>
          </w:p>
        </w:tc>
        <w:tc>
          <w:tcPr>
            <w:tcW w:w="1337" w:type="dxa"/>
            <w:tcBorders>
              <w:bottom w:val="single" w:sz="6" w:space="0" w:color="0075C9"/>
            </w:tcBorders>
            <w:noWrap/>
            <w:tcMar>
              <w:top w:w="0" w:type="dxa"/>
              <w:left w:w="144" w:type="dxa"/>
              <w:bottom w:w="0" w:type="dxa"/>
              <w:right w:w="0" w:type="dxa"/>
            </w:tcMar>
            <w:vAlign w:val="center"/>
            <w:hideMark/>
          </w:tcPr>
          <w:p w14:paraId="2A87D464"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37EBDA05" w14:textId="77777777" w:rsidR="00D246A9" w:rsidRDefault="00D246A9">
            <w:pPr>
              <w:jc w:val="center"/>
              <w:rPr>
                <w:rFonts w:ascii="Arial" w:hAnsi="Arial" w:cs="Arial"/>
                <w:sz w:val="18"/>
                <w:szCs w:val="18"/>
              </w:rPr>
            </w:pPr>
            <w:r>
              <w:rPr>
                <w:rFonts w:ascii="Arial" w:hAnsi="Arial" w:cs="Arial"/>
                <w:sz w:val="18"/>
                <w:szCs w:val="18"/>
              </w:rPr>
              <w:t>3</w:t>
            </w:r>
            <w:r>
              <w:rPr>
                <w:rFonts w:ascii="Arial" w:hAnsi="Arial" w:cs="Arial"/>
                <w:sz w:val="18"/>
                <w:szCs w:val="18"/>
              </w:rPr>
              <w:t> </w:t>
            </w:r>
          </w:p>
        </w:tc>
      </w:tr>
      <w:tr w:rsidR="00D246A9" w14:paraId="67DA6B33" w14:textId="77777777" w:rsidTr="00BE0DB9">
        <w:trPr>
          <w:cantSplit/>
        </w:trPr>
        <w:tc>
          <w:tcPr>
            <w:tcW w:w="6373" w:type="dxa"/>
            <w:tcBorders>
              <w:bottom w:val="single" w:sz="6" w:space="0" w:color="0075C9"/>
            </w:tcBorders>
            <w:tcMar>
              <w:top w:w="0" w:type="dxa"/>
              <w:left w:w="0" w:type="dxa"/>
              <w:bottom w:w="40" w:type="dxa"/>
              <w:right w:w="0" w:type="dxa"/>
            </w:tcMar>
            <w:hideMark/>
          </w:tcPr>
          <w:p w14:paraId="491DD17B"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Catherine MacGregor</w:t>
            </w:r>
          </w:p>
          <w:p w14:paraId="17FA3620"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Group CEO and Director, Engie S.A.</w:t>
            </w:r>
          </w:p>
        </w:tc>
        <w:tc>
          <w:tcPr>
            <w:tcW w:w="598" w:type="dxa"/>
            <w:tcBorders>
              <w:bottom w:val="single" w:sz="6" w:space="0" w:color="0075C9"/>
            </w:tcBorders>
            <w:noWrap/>
            <w:tcMar>
              <w:top w:w="0" w:type="dxa"/>
              <w:left w:w="144" w:type="dxa"/>
              <w:bottom w:w="0" w:type="dxa"/>
              <w:right w:w="0" w:type="dxa"/>
            </w:tcMar>
            <w:vAlign w:val="center"/>
            <w:hideMark/>
          </w:tcPr>
          <w:p w14:paraId="74FB2650" w14:textId="77777777" w:rsidR="00D246A9" w:rsidRDefault="00D246A9">
            <w:pPr>
              <w:jc w:val="center"/>
              <w:rPr>
                <w:rFonts w:ascii="Arial" w:hAnsi="Arial" w:cs="Arial"/>
                <w:sz w:val="18"/>
                <w:szCs w:val="18"/>
              </w:rPr>
            </w:pPr>
            <w:r>
              <w:rPr>
                <w:rFonts w:ascii="Arial" w:hAnsi="Arial" w:cs="Arial"/>
                <w:sz w:val="18"/>
                <w:szCs w:val="18"/>
              </w:rPr>
              <w:t>51</w:t>
            </w:r>
          </w:p>
        </w:tc>
        <w:tc>
          <w:tcPr>
            <w:tcW w:w="1036" w:type="dxa"/>
            <w:tcBorders>
              <w:bottom w:val="single" w:sz="6" w:space="0" w:color="0075C9"/>
            </w:tcBorders>
            <w:noWrap/>
            <w:tcMar>
              <w:top w:w="0" w:type="dxa"/>
              <w:left w:w="144" w:type="dxa"/>
              <w:bottom w:w="0" w:type="dxa"/>
              <w:right w:w="0" w:type="dxa"/>
            </w:tcMar>
            <w:vAlign w:val="center"/>
            <w:hideMark/>
          </w:tcPr>
          <w:p w14:paraId="61F9D035" w14:textId="77777777" w:rsidR="00D246A9" w:rsidRDefault="00D246A9">
            <w:pPr>
              <w:jc w:val="center"/>
              <w:rPr>
                <w:rFonts w:ascii="Arial" w:hAnsi="Arial" w:cs="Arial"/>
                <w:sz w:val="18"/>
                <w:szCs w:val="18"/>
              </w:rPr>
            </w:pPr>
            <w:r>
              <w:rPr>
                <w:rFonts w:ascii="Arial" w:hAnsi="Arial" w:cs="Arial"/>
                <w:sz w:val="18"/>
                <w:szCs w:val="18"/>
              </w:rPr>
              <w:t>New</w:t>
            </w:r>
            <w:r>
              <w:rPr>
                <w:rFonts w:ascii="Arial" w:hAnsi="Arial" w:cs="Arial"/>
                <w:sz w:val="18"/>
                <w:szCs w:val="18"/>
              </w:rPr>
              <w:br/>
              <w:t>Nominee</w:t>
            </w:r>
          </w:p>
        </w:tc>
        <w:tc>
          <w:tcPr>
            <w:tcW w:w="1337" w:type="dxa"/>
            <w:tcBorders>
              <w:bottom w:val="single" w:sz="6" w:space="0" w:color="0075C9"/>
            </w:tcBorders>
            <w:noWrap/>
            <w:tcMar>
              <w:top w:w="0" w:type="dxa"/>
              <w:left w:w="144" w:type="dxa"/>
              <w:bottom w:w="0" w:type="dxa"/>
              <w:right w:w="0" w:type="dxa"/>
            </w:tcMar>
            <w:vAlign w:val="center"/>
            <w:hideMark/>
          </w:tcPr>
          <w:p w14:paraId="47B578EA"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17EC85EC" w14:textId="77777777" w:rsidR="00D246A9" w:rsidRDefault="00D246A9">
            <w:pPr>
              <w:jc w:val="center"/>
              <w:rPr>
                <w:rFonts w:ascii="Arial" w:hAnsi="Arial" w:cs="Arial"/>
                <w:sz w:val="18"/>
                <w:szCs w:val="18"/>
              </w:rPr>
            </w:pPr>
            <w:r>
              <w:rPr>
                <w:rFonts w:ascii="Arial" w:hAnsi="Arial" w:cs="Arial"/>
                <w:sz w:val="18"/>
                <w:szCs w:val="18"/>
              </w:rPr>
              <w:t>1</w:t>
            </w:r>
            <w:r>
              <w:rPr>
                <w:rFonts w:ascii="Arial" w:hAnsi="Arial" w:cs="Arial"/>
                <w:sz w:val="18"/>
                <w:szCs w:val="18"/>
              </w:rPr>
              <w:t> </w:t>
            </w:r>
          </w:p>
        </w:tc>
      </w:tr>
      <w:tr w:rsidR="00D246A9" w14:paraId="5AF15620" w14:textId="77777777" w:rsidTr="00BE0DB9">
        <w:trPr>
          <w:cantSplit/>
        </w:trPr>
        <w:tc>
          <w:tcPr>
            <w:tcW w:w="6373" w:type="dxa"/>
            <w:tcBorders>
              <w:bottom w:val="single" w:sz="6" w:space="0" w:color="0075C9"/>
            </w:tcBorders>
            <w:tcMar>
              <w:top w:w="0" w:type="dxa"/>
              <w:left w:w="0" w:type="dxa"/>
              <w:bottom w:w="40" w:type="dxa"/>
              <w:right w:w="0" w:type="dxa"/>
            </w:tcMar>
            <w:hideMark/>
          </w:tcPr>
          <w:p w14:paraId="3539C0D2"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Mark A. L. Mason</w:t>
            </w:r>
          </w:p>
          <w:p w14:paraId="03A7197A"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CFO, Citigroup Inc.</w:t>
            </w:r>
          </w:p>
        </w:tc>
        <w:tc>
          <w:tcPr>
            <w:tcW w:w="598" w:type="dxa"/>
            <w:tcBorders>
              <w:bottom w:val="single" w:sz="6" w:space="0" w:color="0075C9"/>
            </w:tcBorders>
            <w:noWrap/>
            <w:tcMar>
              <w:top w:w="0" w:type="dxa"/>
              <w:left w:w="144" w:type="dxa"/>
              <w:bottom w:w="0" w:type="dxa"/>
              <w:right w:w="0" w:type="dxa"/>
            </w:tcMar>
            <w:vAlign w:val="center"/>
            <w:hideMark/>
          </w:tcPr>
          <w:p w14:paraId="3C8900FD" w14:textId="77777777" w:rsidR="00D246A9" w:rsidRDefault="00D246A9">
            <w:pPr>
              <w:jc w:val="center"/>
              <w:rPr>
                <w:rFonts w:ascii="Arial" w:hAnsi="Arial" w:cs="Arial"/>
                <w:sz w:val="18"/>
                <w:szCs w:val="18"/>
              </w:rPr>
            </w:pPr>
            <w:r>
              <w:rPr>
                <w:rFonts w:ascii="Arial" w:hAnsi="Arial" w:cs="Arial"/>
                <w:sz w:val="18"/>
                <w:szCs w:val="18"/>
              </w:rPr>
              <w:t>54</w:t>
            </w:r>
          </w:p>
        </w:tc>
        <w:tc>
          <w:tcPr>
            <w:tcW w:w="1036" w:type="dxa"/>
            <w:tcBorders>
              <w:bottom w:val="single" w:sz="6" w:space="0" w:color="0075C9"/>
            </w:tcBorders>
            <w:noWrap/>
            <w:tcMar>
              <w:top w:w="0" w:type="dxa"/>
              <w:left w:w="144" w:type="dxa"/>
              <w:bottom w:w="0" w:type="dxa"/>
              <w:right w:w="0" w:type="dxa"/>
            </w:tcMar>
            <w:vAlign w:val="center"/>
            <w:hideMark/>
          </w:tcPr>
          <w:p w14:paraId="6EF7AF11" w14:textId="77777777" w:rsidR="00D246A9" w:rsidRDefault="00D246A9">
            <w:pPr>
              <w:jc w:val="center"/>
              <w:rPr>
                <w:rFonts w:ascii="Arial" w:hAnsi="Arial" w:cs="Arial"/>
                <w:sz w:val="18"/>
                <w:szCs w:val="18"/>
              </w:rPr>
            </w:pPr>
            <w:r>
              <w:rPr>
                <w:rFonts w:ascii="Arial" w:hAnsi="Arial" w:cs="Arial"/>
                <w:sz w:val="18"/>
                <w:szCs w:val="18"/>
              </w:rPr>
              <w:t>New</w:t>
            </w:r>
            <w:r>
              <w:rPr>
                <w:rFonts w:ascii="Arial" w:hAnsi="Arial" w:cs="Arial"/>
                <w:sz w:val="18"/>
                <w:szCs w:val="18"/>
              </w:rPr>
              <w:br/>
              <w:t>Nominee</w:t>
            </w:r>
          </w:p>
        </w:tc>
        <w:tc>
          <w:tcPr>
            <w:tcW w:w="1337" w:type="dxa"/>
            <w:tcBorders>
              <w:bottom w:val="single" w:sz="6" w:space="0" w:color="0075C9"/>
            </w:tcBorders>
            <w:noWrap/>
            <w:tcMar>
              <w:top w:w="0" w:type="dxa"/>
              <w:left w:w="144" w:type="dxa"/>
              <w:bottom w:w="0" w:type="dxa"/>
              <w:right w:w="0" w:type="dxa"/>
            </w:tcMar>
            <w:vAlign w:val="center"/>
            <w:hideMark/>
          </w:tcPr>
          <w:p w14:paraId="2F04121E"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4A37D4F3" w14:textId="77777777" w:rsidR="00D246A9" w:rsidRDefault="00D246A9">
            <w:pPr>
              <w:jc w:val="center"/>
              <w:rPr>
                <w:rFonts w:ascii="Arial" w:hAnsi="Arial" w:cs="Arial"/>
                <w:sz w:val="18"/>
                <w:szCs w:val="18"/>
              </w:rPr>
            </w:pPr>
            <w:r>
              <w:rPr>
                <w:rFonts w:ascii="Arial" w:hAnsi="Arial" w:cs="Arial"/>
                <w:sz w:val="18"/>
                <w:szCs w:val="18"/>
              </w:rPr>
              <w:t>0</w:t>
            </w:r>
            <w:r>
              <w:rPr>
                <w:rFonts w:ascii="Arial" w:hAnsi="Arial" w:cs="Arial"/>
                <w:sz w:val="18"/>
                <w:szCs w:val="18"/>
              </w:rPr>
              <w:t> </w:t>
            </w:r>
          </w:p>
        </w:tc>
      </w:tr>
      <w:tr w:rsidR="00D246A9" w14:paraId="204661AF" w14:textId="77777777" w:rsidTr="00BE0DB9">
        <w:trPr>
          <w:cantSplit/>
        </w:trPr>
        <w:tc>
          <w:tcPr>
            <w:tcW w:w="6373" w:type="dxa"/>
            <w:tcBorders>
              <w:bottom w:val="single" w:sz="6" w:space="0" w:color="0075C9"/>
            </w:tcBorders>
            <w:tcMar>
              <w:top w:w="0" w:type="dxa"/>
              <w:left w:w="0" w:type="dxa"/>
              <w:bottom w:w="40" w:type="dxa"/>
              <w:right w:w="0" w:type="dxa"/>
            </w:tcMar>
            <w:hideMark/>
          </w:tcPr>
          <w:p w14:paraId="766FAA7C"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p w14:paraId="34EC4B7D"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Chairman and CEO, Microsoft Corporation</w:t>
            </w:r>
          </w:p>
        </w:tc>
        <w:tc>
          <w:tcPr>
            <w:tcW w:w="598" w:type="dxa"/>
            <w:tcBorders>
              <w:bottom w:val="single" w:sz="6" w:space="0" w:color="0075C9"/>
            </w:tcBorders>
            <w:noWrap/>
            <w:tcMar>
              <w:top w:w="0" w:type="dxa"/>
              <w:left w:w="144" w:type="dxa"/>
              <w:bottom w:w="0" w:type="dxa"/>
              <w:right w:w="0" w:type="dxa"/>
            </w:tcMar>
            <w:vAlign w:val="center"/>
            <w:hideMark/>
          </w:tcPr>
          <w:p w14:paraId="6818B860" w14:textId="77777777" w:rsidR="00D246A9" w:rsidRDefault="00D246A9">
            <w:pPr>
              <w:jc w:val="center"/>
              <w:rPr>
                <w:rFonts w:ascii="Arial" w:hAnsi="Arial" w:cs="Arial"/>
                <w:sz w:val="18"/>
                <w:szCs w:val="18"/>
              </w:rPr>
            </w:pPr>
            <w:r>
              <w:rPr>
                <w:rFonts w:ascii="Arial" w:hAnsi="Arial" w:cs="Arial"/>
                <w:sz w:val="18"/>
                <w:szCs w:val="18"/>
              </w:rPr>
              <w:t>56</w:t>
            </w:r>
          </w:p>
        </w:tc>
        <w:tc>
          <w:tcPr>
            <w:tcW w:w="1036" w:type="dxa"/>
            <w:tcBorders>
              <w:bottom w:val="single" w:sz="6" w:space="0" w:color="0075C9"/>
            </w:tcBorders>
            <w:noWrap/>
            <w:tcMar>
              <w:top w:w="0" w:type="dxa"/>
              <w:left w:w="144" w:type="dxa"/>
              <w:bottom w:w="0" w:type="dxa"/>
              <w:right w:w="0" w:type="dxa"/>
            </w:tcMar>
            <w:vAlign w:val="center"/>
            <w:hideMark/>
          </w:tcPr>
          <w:p w14:paraId="17661D09" w14:textId="77777777" w:rsidR="00D246A9" w:rsidRDefault="00D246A9">
            <w:pPr>
              <w:jc w:val="center"/>
              <w:rPr>
                <w:rFonts w:ascii="Arial" w:hAnsi="Arial" w:cs="Arial"/>
                <w:sz w:val="18"/>
                <w:szCs w:val="18"/>
              </w:rPr>
            </w:pPr>
            <w:r>
              <w:rPr>
                <w:rFonts w:ascii="Arial" w:hAnsi="Arial" w:cs="Arial"/>
                <w:sz w:val="18"/>
                <w:szCs w:val="18"/>
              </w:rPr>
              <w:t>2014</w:t>
            </w:r>
          </w:p>
        </w:tc>
        <w:tc>
          <w:tcPr>
            <w:tcW w:w="1337" w:type="dxa"/>
            <w:tcBorders>
              <w:bottom w:val="single" w:sz="6" w:space="0" w:color="0075C9"/>
            </w:tcBorders>
            <w:noWrap/>
            <w:tcMar>
              <w:top w:w="0" w:type="dxa"/>
              <w:left w:w="144" w:type="dxa"/>
              <w:bottom w:w="0" w:type="dxa"/>
              <w:right w:w="0" w:type="dxa"/>
            </w:tcMar>
            <w:vAlign w:val="center"/>
            <w:hideMark/>
          </w:tcPr>
          <w:p w14:paraId="437493CC" w14:textId="77777777" w:rsidR="00D246A9" w:rsidRDefault="00D246A9">
            <w:pPr>
              <w:jc w:val="center"/>
              <w:rPr>
                <w:rFonts w:ascii="Arial" w:hAnsi="Arial" w:cs="Arial"/>
                <w:sz w:val="18"/>
                <w:szCs w:val="18"/>
              </w:rPr>
            </w:pPr>
            <w:r>
              <w:rPr>
                <w:rFonts w:ascii="Arial" w:hAnsi="Arial" w:cs="Arial"/>
                <w:sz w:val="18"/>
                <w:szCs w:val="18"/>
              </w:rPr>
              <w:t>No</w:t>
            </w:r>
          </w:p>
        </w:tc>
        <w:tc>
          <w:tcPr>
            <w:tcW w:w="1456" w:type="dxa"/>
            <w:tcBorders>
              <w:bottom w:val="single" w:sz="6" w:space="0" w:color="0075C9"/>
            </w:tcBorders>
            <w:noWrap/>
            <w:tcMar>
              <w:top w:w="0" w:type="dxa"/>
              <w:left w:w="144" w:type="dxa"/>
              <w:bottom w:w="0" w:type="dxa"/>
              <w:right w:w="0" w:type="dxa"/>
            </w:tcMar>
            <w:vAlign w:val="center"/>
            <w:hideMark/>
          </w:tcPr>
          <w:p w14:paraId="6A56D56B" w14:textId="77777777" w:rsidR="00D246A9" w:rsidRDefault="00D246A9">
            <w:pPr>
              <w:jc w:val="center"/>
              <w:rPr>
                <w:rFonts w:ascii="Arial" w:hAnsi="Arial" w:cs="Arial"/>
                <w:sz w:val="18"/>
                <w:szCs w:val="18"/>
              </w:rPr>
            </w:pPr>
            <w:r>
              <w:rPr>
                <w:rFonts w:ascii="Arial" w:hAnsi="Arial" w:cs="Arial"/>
                <w:sz w:val="18"/>
                <w:szCs w:val="18"/>
              </w:rPr>
              <w:t>1</w:t>
            </w:r>
            <w:r>
              <w:rPr>
                <w:rFonts w:ascii="Arial" w:hAnsi="Arial" w:cs="Arial"/>
                <w:sz w:val="18"/>
                <w:szCs w:val="18"/>
              </w:rPr>
              <w:t> </w:t>
            </w:r>
          </w:p>
        </w:tc>
      </w:tr>
      <w:tr w:rsidR="00D246A9" w14:paraId="69E699B9" w14:textId="77777777" w:rsidTr="00BE0DB9">
        <w:trPr>
          <w:cantSplit/>
        </w:trPr>
        <w:tc>
          <w:tcPr>
            <w:tcW w:w="6373" w:type="dxa"/>
            <w:tcBorders>
              <w:bottom w:val="single" w:sz="6" w:space="0" w:color="0075C9"/>
            </w:tcBorders>
            <w:tcMar>
              <w:top w:w="0" w:type="dxa"/>
              <w:left w:w="0" w:type="dxa"/>
              <w:bottom w:w="40" w:type="dxa"/>
              <w:right w:w="0" w:type="dxa"/>
            </w:tcMar>
            <w:hideMark/>
          </w:tcPr>
          <w:p w14:paraId="781CD651"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Sandra E. Peterson</w:t>
            </w:r>
          </w:p>
          <w:p w14:paraId="0556CCF4" w14:textId="77777777" w:rsidR="00D246A9" w:rsidRDefault="00D246A9">
            <w:pPr>
              <w:pStyle w:val="NormalWeb"/>
              <w:spacing w:before="0" w:beforeAutospacing="0" w:after="0" w:afterAutospacing="0"/>
              <w:ind w:left="106"/>
              <w:rPr>
                <w:rFonts w:ascii="Arial" w:hAnsi="Arial" w:cs="Arial"/>
                <w:sz w:val="18"/>
                <w:szCs w:val="18"/>
              </w:rPr>
            </w:pPr>
            <w:r>
              <w:rPr>
                <w:rFonts w:ascii="Arial" w:hAnsi="Arial" w:cs="Arial"/>
                <w:i/>
                <w:iCs/>
                <w:sz w:val="18"/>
                <w:szCs w:val="18"/>
              </w:rPr>
              <w:t xml:space="preserve">Lead Independent Director, Microsoft </w:t>
            </w:r>
            <w:proofErr w:type="gramStart"/>
            <w:r>
              <w:rPr>
                <w:rFonts w:ascii="Arial" w:hAnsi="Arial" w:cs="Arial"/>
                <w:i/>
                <w:iCs/>
                <w:sz w:val="18"/>
                <w:szCs w:val="18"/>
              </w:rPr>
              <w:t>Corporation;</w:t>
            </w:r>
            <w:proofErr w:type="gramEnd"/>
          </w:p>
          <w:p w14:paraId="6E0152ED"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Operating Partner, Clayton, Dubilier &amp; Rice, LLC</w:t>
            </w:r>
          </w:p>
        </w:tc>
        <w:tc>
          <w:tcPr>
            <w:tcW w:w="598" w:type="dxa"/>
            <w:tcBorders>
              <w:bottom w:val="single" w:sz="6" w:space="0" w:color="0075C9"/>
            </w:tcBorders>
            <w:noWrap/>
            <w:tcMar>
              <w:top w:w="0" w:type="dxa"/>
              <w:left w:w="144" w:type="dxa"/>
              <w:bottom w:w="0" w:type="dxa"/>
              <w:right w:w="0" w:type="dxa"/>
            </w:tcMar>
            <w:vAlign w:val="center"/>
            <w:hideMark/>
          </w:tcPr>
          <w:p w14:paraId="43D74755" w14:textId="77777777" w:rsidR="00D246A9" w:rsidRDefault="00D246A9">
            <w:pPr>
              <w:jc w:val="center"/>
              <w:rPr>
                <w:rFonts w:ascii="Arial" w:hAnsi="Arial" w:cs="Arial"/>
                <w:sz w:val="18"/>
                <w:szCs w:val="18"/>
              </w:rPr>
            </w:pPr>
            <w:r>
              <w:rPr>
                <w:rFonts w:ascii="Arial" w:hAnsi="Arial" w:cs="Arial"/>
                <w:sz w:val="18"/>
                <w:szCs w:val="18"/>
              </w:rPr>
              <w:t>64</w:t>
            </w:r>
          </w:p>
        </w:tc>
        <w:tc>
          <w:tcPr>
            <w:tcW w:w="1036" w:type="dxa"/>
            <w:tcBorders>
              <w:bottom w:val="single" w:sz="6" w:space="0" w:color="0075C9"/>
            </w:tcBorders>
            <w:noWrap/>
            <w:tcMar>
              <w:top w:w="0" w:type="dxa"/>
              <w:left w:w="144" w:type="dxa"/>
              <w:bottom w:w="0" w:type="dxa"/>
              <w:right w:w="0" w:type="dxa"/>
            </w:tcMar>
            <w:vAlign w:val="center"/>
            <w:hideMark/>
          </w:tcPr>
          <w:p w14:paraId="34D85DD3" w14:textId="77777777" w:rsidR="00D246A9" w:rsidRDefault="00D246A9">
            <w:pPr>
              <w:jc w:val="center"/>
              <w:rPr>
                <w:rFonts w:ascii="Arial" w:hAnsi="Arial" w:cs="Arial"/>
                <w:sz w:val="18"/>
                <w:szCs w:val="18"/>
              </w:rPr>
            </w:pPr>
            <w:r>
              <w:rPr>
                <w:rFonts w:ascii="Arial" w:hAnsi="Arial" w:cs="Arial"/>
                <w:sz w:val="18"/>
                <w:szCs w:val="18"/>
              </w:rPr>
              <w:t>2015</w:t>
            </w:r>
          </w:p>
        </w:tc>
        <w:tc>
          <w:tcPr>
            <w:tcW w:w="1337" w:type="dxa"/>
            <w:tcBorders>
              <w:bottom w:val="single" w:sz="6" w:space="0" w:color="0075C9"/>
            </w:tcBorders>
            <w:noWrap/>
            <w:tcMar>
              <w:top w:w="0" w:type="dxa"/>
              <w:left w:w="144" w:type="dxa"/>
              <w:bottom w:w="0" w:type="dxa"/>
              <w:right w:w="0" w:type="dxa"/>
            </w:tcMar>
            <w:vAlign w:val="center"/>
            <w:hideMark/>
          </w:tcPr>
          <w:p w14:paraId="6B94283D"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2DD89C08" w14:textId="77777777" w:rsidR="00D246A9" w:rsidRDefault="00D246A9">
            <w:pPr>
              <w:jc w:val="center"/>
              <w:rPr>
                <w:rFonts w:ascii="Arial" w:hAnsi="Arial" w:cs="Arial"/>
                <w:sz w:val="18"/>
                <w:szCs w:val="18"/>
              </w:rPr>
            </w:pPr>
            <w:r>
              <w:rPr>
                <w:rFonts w:ascii="Arial" w:hAnsi="Arial" w:cs="Arial"/>
                <w:sz w:val="18"/>
                <w:szCs w:val="18"/>
              </w:rPr>
              <w:t>0</w:t>
            </w:r>
            <w:r>
              <w:rPr>
                <w:rFonts w:ascii="Arial" w:hAnsi="Arial" w:cs="Arial"/>
                <w:sz w:val="18"/>
                <w:szCs w:val="18"/>
              </w:rPr>
              <w:t> </w:t>
            </w:r>
          </w:p>
        </w:tc>
      </w:tr>
      <w:tr w:rsidR="00D246A9" w14:paraId="06123ED7" w14:textId="77777777" w:rsidTr="00BE0DB9">
        <w:trPr>
          <w:cantSplit/>
        </w:trPr>
        <w:tc>
          <w:tcPr>
            <w:tcW w:w="6373" w:type="dxa"/>
            <w:tcBorders>
              <w:bottom w:val="single" w:sz="6" w:space="0" w:color="0075C9"/>
            </w:tcBorders>
            <w:tcMar>
              <w:top w:w="0" w:type="dxa"/>
              <w:left w:w="0" w:type="dxa"/>
              <w:bottom w:w="40" w:type="dxa"/>
              <w:right w:w="0" w:type="dxa"/>
            </w:tcMar>
            <w:hideMark/>
          </w:tcPr>
          <w:p w14:paraId="50069FE9"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Penny S. Pritzker</w:t>
            </w:r>
          </w:p>
          <w:p w14:paraId="29317C3F"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Founder and Chairman, PSP Partners, LLC</w:t>
            </w:r>
          </w:p>
        </w:tc>
        <w:tc>
          <w:tcPr>
            <w:tcW w:w="598" w:type="dxa"/>
            <w:tcBorders>
              <w:bottom w:val="single" w:sz="6" w:space="0" w:color="0075C9"/>
            </w:tcBorders>
            <w:noWrap/>
            <w:tcMar>
              <w:top w:w="0" w:type="dxa"/>
              <w:left w:w="144" w:type="dxa"/>
              <w:bottom w:w="0" w:type="dxa"/>
              <w:right w:w="0" w:type="dxa"/>
            </w:tcMar>
            <w:vAlign w:val="center"/>
            <w:hideMark/>
          </w:tcPr>
          <w:p w14:paraId="6A78451E" w14:textId="77777777" w:rsidR="00D246A9" w:rsidRDefault="00D246A9">
            <w:pPr>
              <w:jc w:val="center"/>
              <w:rPr>
                <w:rFonts w:ascii="Arial" w:hAnsi="Arial" w:cs="Arial"/>
                <w:sz w:val="18"/>
                <w:szCs w:val="18"/>
              </w:rPr>
            </w:pPr>
            <w:r>
              <w:rPr>
                <w:rFonts w:ascii="Arial" w:hAnsi="Arial" w:cs="Arial"/>
                <w:sz w:val="18"/>
                <w:szCs w:val="18"/>
              </w:rPr>
              <w:t>64</w:t>
            </w:r>
          </w:p>
        </w:tc>
        <w:tc>
          <w:tcPr>
            <w:tcW w:w="1036" w:type="dxa"/>
            <w:tcBorders>
              <w:bottom w:val="single" w:sz="6" w:space="0" w:color="0075C9"/>
            </w:tcBorders>
            <w:noWrap/>
            <w:tcMar>
              <w:top w:w="0" w:type="dxa"/>
              <w:left w:w="144" w:type="dxa"/>
              <w:bottom w:w="0" w:type="dxa"/>
              <w:right w:w="0" w:type="dxa"/>
            </w:tcMar>
            <w:vAlign w:val="center"/>
            <w:hideMark/>
          </w:tcPr>
          <w:p w14:paraId="23006DA3" w14:textId="77777777" w:rsidR="00D246A9" w:rsidRDefault="00D246A9">
            <w:pPr>
              <w:jc w:val="center"/>
              <w:rPr>
                <w:rFonts w:ascii="Arial" w:hAnsi="Arial" w:cs="Arial"/>
                <w:sz w:val="18"/>
                <w:szCs w:val="18"/>
              </w:rPr>
            </w:pPr>
            <w:r>
              <w:rPr>
                <w:rFonts w:ascii="Arial" w:hAnsi="Arial" w:cs="Arial"/>
                <w:sz w:val="18"/>
                <w:szCs w:val="18"/>
              </w:rPr>
              <w:t>2017</w:t>
            </w:r>
          </w:p>
        </w:tc>
        <w:tc>
          <w:tcPr>
            <w:tcW w:w="1337" w:type="dxa"/>
            <w:tcBorders>
              <w:bottom w:val="single" w:sz="6" w:space="0" w:color="0075C9"/>
            </w:tcBorders>
            <w:noWrap/>
            <w:tcMar>
              <w:top w:w="0" w:type="dxa"/>
              <w:left w:w="144" w:type="dxa"/>
              <w:bottom w:w="0" w:type="dxa"/>
              <w:right w:w="0" w:type="dxa"/>
            </w:tcMar>
            <w:vAlign w:val="center"/>
            <w:hideMark/>
          </w:tcPr>
          <w:p w14:paraId="627AC29B"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1A889D96" w14:textId="77777777" w:rsidR="00D246A9" w:rsidRDefault="00D246A9">
            <w:pPr>
              <w:jc w:val="center"/>
              <w:rPr>
                <w:rFonts w:ascii="Arial" w:hAnsi="Arial" w:cs="Arial"/>
                <w:sz w:val="18"/>
                <w:szCs w:val="18"/>
              </w:rPr>
            </w:pPr>
            <w:r>
              <w:rPr>
                <w:rFonts w:ascii="Arial" w:hAnsi="Arial" w:cs="Arial"/>
                <w:sz w:val="18"/>
                <w:szCs w:val="18"/>
              </w:rPr>
              <w:t>0</w:t>
            </w:r>
            <w:r>
              <w:rPr>
                <w:rFonts w:ascii="Arial" w:hAnsi="Arial" w:cs="Arial"/>
                <w:sz w:val="18"/>
                <w:szCs w:val="18"/>
              </w:rPr>
              <w:t> </w:t>
            </w:r>
          </w:p>
        </w:tc>
      </w:tr>
      <w:tr w:rsidR="00D246A9" w14:paraId="0A703520" w14:textId="77777777" w:rsidTr="00BE0DB9">
        <w:trPr>
          <w:cantSplit/>
        </w:trPr>
        <w:tc>
          <w:tcPr>
            <w:tcW w:w="6373" w:type="dxa"/>
            <w:tcBorders>
              <w:bottom w:val="single" w:sz="6" w:space="0" w:color="0075C9"/>
            </w:tcBorders>
            <w:tcMar>
              <w:top w:w="0" w:type="dxa"/>
              <w:left w:w="0" w:type="dxa"/>
              <w:bottom w:w="40" w:type="dxa"/>
              <w:right w:w="0" w:type="dxa"/>
            </w:tcMar>
            <w:hideMark/>
          </w:tcPr>
          <w:p w14:paraId="75D324AC"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Carlos A. Rodriguez</w:t>
            </w:r>
          </w:p>
          <w:p w14:paraId="4032D72A"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Executive Chair, Automatic Data Processing, Inc.</w:t>
            </w:r>
          </w:p>
        </w:tc>
        <w:tc>
          <w:tcPr>
            <w:tcW w:w="598" w:type="dxa"/>
            <w:tcBorders>
              <w:bottom w:val="single" w:sz="6" w:space="0" w:color="0075C9"/>
            </w:tcBorders>
            <w:noWrap/>
            <w:tcMar>
              <w:top w:w="0" w:type="dxa"/>
              <w:left w:w="144" w:type="dxa"/>
              <w:bottom w:w="0" w:type="dxa"/>
              <w:right w:w="0" w:type="dxa"/>
            </w:tcMar>
            <w:vAlign w:val="center"/>
            <w:hideMark/>
          </w:tcPr>
          <w:p w14:paraId="797549AF" w14:textId="77777777" w:rsidR="00D246A9" w:rsidRDefault="00D246A9">
            <w:pPr>
              <w:jc w:val="center"/>
              <w:rPr>
                <w:rFonts w:ascii="Arial" w:hAnsi="Arial" w:cs="Arial"/>
                <w:sz w:val="18"/>
                <w:szCs w:val="18"/>
              </w:rPr>
            </w:pPr>
            <w:r>
              <w:rPr>
                <w:rFonts w:ascii="Arial" w:hAnsi="Arial" w:cs="Arial"/>
                <w:sz w:val="18"/>
                <w:szCs w:val="18"/>
              </w:rPr>
              <w:t>59</w:t>
            </w:r>
          </w:p>
        </w:tc>
        <w:tc>
          <w:tcPr>
            <w:tcW w:w="1036" w:type="dxa"/>
            <w:tcBorders>
              <w:bottom w:val="single" w:sz="6" w:space="0" w:color="0075C9"/>
            </w:tcBorders>
            <w:noWrap/>
            <w:tcMar>
              <w:top w:w="0" w:type="dxa"/>
              <w:left w:w="144" w:type="dxa"/>
              <w:bottom w:w="0" w:type="dxa"/>
              <w:right w:w="0" w:type="dxa"/>
            </w:tcMar>
            <w:vAlign w:val="center"/>
            <w:hideMark/>
          </w:tcPr>
          <w:p w14:paraId="2398C034" w14:textId="77777777" w:rsidR="00D246A9" w:rsidRDefault="00D246A9">
            <w:pPr>
              <w:jc w:val="center"/>
              <w:rPr>
                <w:rFonts w:ascii="Arial" w:hAnsi="Arial" w:cs="Arial"/>
                <w:sz w:val="18"/>
                <w:szCs w:val="18"/>
              </w:rPr>
            </w:pPr>
            <w:r>
              <w:rPr>
                <w:rFonts w:ascii="Arial" w:hAnsi="Arial" w:cs="Arial"/>
                <w:sz w:val="18"/>
                <w:szCs w:val="18"/>
              </w:rPr>
              <w:t>2021</w:t>
            </w:r>
          </w:p>
        </w:tc>
        <w:tc>
          <w:tcPr>
            <w:tcW w:w="1337" w:type="dxa"/>
            <w:tcBorders>
              <w:bottom w:val="single" w:sz="6" w:space="0" w:color="0075C9"/>
            </w:tcBorders>
            <w:noWrap/>
            <w:tcMar>
              <w:top w:w="0" w:type="dxa"/>
              <w:left w:w="144" w:type="dxa"/>
              <w:bottom w:w="0" w:type="dxa"/>
              <w:right w:w="0" w:type="dxa"/>
            </w:tcMar>
            <w:vAlign w:val="center"/>
            <w:hideMark/>
          </w:tcPr>
          <w:p w14:paraId="361247A9"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7653DDC8" w14:textId="77777777" w:rsidR="00D246A9" w:rsidRDefault="00D246A9">
            <w:pPr>
              <w:jc w:val="center"/>
              <w:rPr>
                <w:rFonts w:ascii="Arial" w:hAnsi="Arial" w:cs="Arial"/>
                <w:sz w:val="18"/>
                <w:szCs w:val="18"/>
              </w:rPr>
            </w:pPr>
            <w:r>
              <w:rPr>
                <w:rFonts w:ascii="Arial" w:hAnsi="Arial" w:cs="Arial"/>
                <w:sz w:val="18"/>
                <w:szCs w:val="18"/>
              </w:rPr>
              <w:t>1</w:t>
            </w:r>
            <w:r>
              <w:rPr>
                <w:rFonts w:ascii="Arial" w:hAnsi="Arial" w:cs="Arial"/>
                <w:sz w:val="18"/>
                <w:szCs w:val="18"/>
              </w:rPr>
              <w:t> </w:t>
            </w:r>
          </w:p>
        </w:tc>
      </w:tr>
      <w:tr w:rsidR="00D246A9" w14:paraId="44C9E80E" w14:textId="77777777" w:rsidTr="00BE0DB9">
        <w:trPr>
          <w:cantSplit/>
        </w:trPr>
        <w:tc>
          <w:tcPr>
            <w:tcW w:w="6373" w:type="dxa"/>
            <w:tcBorders>
              <w:bottom w:val="single" w:sz="6" w:space="0" w:color="0075C9"/>
            </w:tcBorders>
            <w:tcMar>
              <w:top w:w="0" w:type="dxa"/>
              <w:left w:w="0" w:type="dxa"/>
              <w:bottom w:w="40" w:type="dxa"/>
              <w:right w:w="0" w:type="dxa"/>
            </w:tcMar>
            <w:hideMark/>
          </w:tcPr>
          <w:p w14:paraId="262463AE"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Charles W. Scharf</w:t>
            </w:r>
          </w:p>
          <w:p w14:paraId="5D10E326"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CEO, President, and Director, Wells Fargo &amp; Company</w:t>
            </w:r>
          </w:p>
        </w:tc>
        <w:tc>
          <w:tcPr>
            <w:tcW w:w="598" w:type="dxa"/>
            <w:tcBorders>
              <w:bottom w:val="single" w:sz="6" w:space="0" w:color="0075C9"/>
            </w:tcBorders>
            <w:noWrap/>
            <w:tcMar>
              <w:top w:w="0" w:type="dxa"/>
              <w:left w:w="144" w:type="dxa"/>
              <w:bottom w:w="0" w:type="dxa"/>
              <w:right w:w="0" w:type="dxa"/>
            </w:tcMar>
            <w:vAlign w:val="center"/>
            <w:hideMark/>
          </w:tcPr>
          <w:p w14:paraId="6BE719F2" w14:textId="77777777" w:rsidR="00D246A9" w:rsidRDefault="00D246A9">
            <w:pPr>
              <w:jc w:val="center"/>
              <w:rPr>
                <w:rFonts w:ascii="Arial" w:hAnsi="Arial" w:cs="Arial"/>
                <w:sz w:val="18"/>
                <w:szCs w:val="18"/>
              </w:rPr>
            </w:pPr>
            <w:r>
              <w:rPr>
                <w:rFonts w:ascii="Arial" w:hAnsi="Arial" w:cs="Arial"/>
                <w:sz w:val="18"/>
                <w:szCs w:val="18"/>
              </w:rPr>
              <w:t>58</w:t>
            </w:r>
          </w:p>
        </w:tc>
        <w:tc>
          <w:tcPr>
            <w:tcW w:w="1036" w:type="dxa"/>
            <w:tcBorders>
              <w:bottom w:val="single" w:sz="6" w:space="0" w:color="0075C9"/>
            </w:tcBorders>
            <w:noWrap/>
            <w:tcMar>
              <w:top w:w="0" w:type="dxa"/>
              <w:left w:w="144" w:type="dxa"/>
              <w:bottom w:w="0" w:type="dxa"/>
              <w:right w:w="0" w:type="dxa"/>
            </w:tcMar>
            <w:vAlign w:val="center"/>
            <w:hideMark/>
          </w:tcPr>
          <w:p w14:paraId="1BDB3D65" w14:textId="77777777" w:rsidR="00D246A9" w:rsidRDefault="00D246A9">
            <w:pPr>
              <w:jc w:val="center"/>
              <w:rPr>
                <w:rFonts w:ascii="Arial" w:hAnsi="Arial" w:cs="Arial"/>
                <w:sz w:val="18"/>
                <w:szCs w:val="18"/>
              </w:rPr>
            </w:pPr>
            <w:r>
              <w:rPr>
                <w:rFonts w:ascii="Arial" w:hAnsi="Arial" w:cs="Arial"/>
                <w:sz w:val="18"/>
                <w:szCs w:val="18"/>
              </w:rPr>
              <w:t>2014</w:t>
            </w:r>
          </w:p>
        </w:tc>
        <w:tc>
          <w:tcPr>
            <w:tcW w:w="1337" w:type="dxa"/>
            <w:tcBorders>
              <w:bottom w:val="single" w:sz="6" w:space="0" w:color="0075C9"/>
            </w:tcBorders>
            <w:noWrap/>
            <w:tcMar>
              <w:top w:w="0" w:type="dxa"/>
              <w:left w:w="144" w:type="dxa"/>
              <w:bottom w:w="0" w:type="dxa"/>
              <w:right w:w="0" w:type="dxa"/>
            </w:tcMar>
            <w:vAlign w:val="center"/>
            <w:hideMark/>
          </w:tcPr>
          <w:p w14:paraId="44CF157F"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57787FC1" w14:textId="77777777" w:rsidR="00D246A9" w:rsidRDefault="00D246A9">
            <w:pPr>
              <w:jc w:val="center"/>
              <w:rPr>
                <w:rFonts w:ascii="Arial" w:hAnsi="Arial" w:cs="Arial"/>
                <w:sz w:val="18"/>
                <w:szCs w:val="18"/>
              </w:rPr>
            </w:pPr>
            <w:r>
              <w:rPr>
                <w:rFonts w:ascii="Arial" w:hAnsi="Arial" w:cs="Arial"/>
                <w:sz w:val="18"/>
                <w:szCs w:val="18"/>
              </w:rPr>
              <w:t>1</w:t>
            </w:r>
            <w:r>
              <w:rPr>
                <w:rFonts w:ascii="Arial" w:hAnsi="Arial" w:cs="Arial"/>
                <w:sz w:val="18"/>
                <w:szCs w:val="18"/>
              </w:rPr>
              <w:t> </w:t>
            </w:r>
          </w:p>
        </w:tc>
      </w:tr>
      <w:tr w:rsidR="00D246A9" w14:paraId="3768466F" w14:textId="77777777" w:rsidTr="00BE0DB9">
        <w:trPr>
          <w:cantSplit/>
        </w:trPr>
        <w:tc>
          <w:tcPr>
            <w:tcW w:w="6373" w:type="dxa"/>
            <w:tcBorders>
              <w:bottom w:val="single" w:sz="6" w:space="0" w:color="0075C9"/>
            </w:tcBorders>
            <w:tcMar>
              <w:top w:w="0" w:type="dxa"/>
              <w:left w:w="0" w:type="dxa"/>
              <w:bottom w:w="40" w:type="dxa"/>
              <w:right w:w="0" w:type="dxa"/>
            </w:tcMar>
            <w:hideMark/>
          </w:tcPr>
          <w:p w14:paraId="56A77A58"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Stanton</w:t>
            </w:r>
          </w:p>
          <w:p w14:paraId="720D604D"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Founder and Chairman, Trilogy Partnerships</w:t>
            </w:r>
          </w:p>
        </w:tc>
        <w:tc>
          <w:tcPr>
            <w:tcW w:w="598" w:type="dxa"/>
            <w:tcBorders>
              <w:bottom w:val="single" w:sz="6" w:space="0" w:color="0075C9"/>
            </w:tcBorders>
            <w:noWrap/>
            <w:tcMar>
              <w:top w:w="0" w:type="dxa"/>
              <w:left w:w="144" w:type="dxa"/>
              <w:bottom w:w="0" w:type="dxa"/>
              <w:right w:w="0" w:type="dxa"/>
            </w:tcMar>
            <w:vAlign w:val="center"/>
            <w:hideMark/>
          </w:tcPr>
          <w:p w14:paraId="06345E1E" w14:textId="77777777" w:rsidR="00D246A9" w:rsidRDefault="00D246A9">
            <w:pPr>
              <w:jc w:val="center"/>
              <w:rPr>
                <w:rFonts w:ascii="Arial" w:hAnsi="Arial" w:cs="Arial"/>
                <w:sz w:val="18"/>
                <w:szCs w:val="18"/>
              </w:rPr>
            </w:pPr>
            <w:r>
              <w:rPr>
                <w:rFonts w:ascii="Arial" w:hAnsi="Arial" w:cs="Arial"/>
                <w:sz w:val="18"/>
                <w:szCs w:val="18"/>
              </w:rPr>
              <w:t>68</w:t>
            </w:r>
          </w:p>
        </w:tc>
        <w:tc>
          <w:tcPr>
            <w:tcW w:w="1036" w:type="dxa"/>
            <w:tcBorders>
              <w:bottom w:val="single" w:sz="6" w:space="0" w:color="0075C9"/>
            </w:tcBorders>
            <w:noWrap/>
            <w:tcMar>
              <w:top w:w="0" w:type="dxa"/>
              <w:left w:w="144" w:type="dxa"/>
              <w:bottom w:w="0" w:type="dxa"/>
              <w:right w:w="0" w:type="dxa"/>
            </w:tcMar>
            <w:vAlign w:val="center"/>
            <w:hideMark/>
          </w:tcPr>
          <w:p w14:paraId="220B46FE" w14:textId="77777777" w:rsidR="00D246A9" w:rsidRDefault="00D246A9">
            <w:pPr>
              <w:jc w:val="center"/>
              <w:rPr>
                <w:rFonts w:ascii="Arial" w:hAnsi="Arial" w:cs="Arial"/>
                <w:sz w:val="18"/>
                <w:szCs w:val="18"/>
              </w:rPr>
            </w:pPr>
            <w:r>
              <w:rPr>
                <w:rFonts w:ascii="Arial" w:hAnsi="Arial" w:cs="Arial"/>
                <w:sz w:val="18"/>
                <w:szCs w:val="18"/>
              </w:rPr>
              <w:t>2014</w:t>
            </w:r>
          </w:p>
        </w:tc>
        <w:tc>
          <w:tcPr>
            <w:tcW w:w="1337" w:type="dxa"/>
            <w:tcBorders>
              <w:bottom w:val="single" w:sz="6" w:space="0" w:color="0075C9"/>
            </w:tcBorders>
            <w:noWrap/>
            <w:tcMar>
              <w:top w:w="0" w:type="dxa"/>
              <w:left w:w="144" w:type="dxa"/>
              <w:bottom w:w="0" w:type="dxa"/>
              <w:right w:w="0" w:type="dxa"/>
            </w:tcMar>
            <w:vAlign w:val="center"/>
            <w:hideMark/>
          </w:tcPr>
          <w:p w14:paraId="25AF4A8D"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50CBD99D" w14:textId="77777777" w:rsidR="00D246A9" w:rsidRDefault="00D246A9">
            <w:pPr>
              <w:jc w:val="center"/>
              <w:rPr>
                <w:rFonts w:ascii="Arial" w:hAnsi="Arial" w:cs="Arial"/>
                <w:sz w:val="18"/>
                <w:szCs w:val="18"/>
              </w:rPr>
            </w:pPr>
            <w:r>
              <w:rPr>
                <w:rFonts w:ascii="Arial" w:hAnsi="Arial" w:cs="Arial"/>
                <w:sz w:val="18"/>
                <w:szCs w:val="18"/>
              </w:rPr>
              <w:t>2</w:t>
            </w:r>
            <w:r>
              <w:rPr>
                <w:rFonts w:ascii="Arial" w:hAnsi="Arial" w:cs="Arial"/>
                <w:sz w:val="18"/>
                <w:szCs w:val="18"/>
              </w:rPr>
              <w:t> </w:t>
            </w:r>
          </w:p>
        </w:tc>
      </w:tr>
      <w:tr w:rsidR="00D246A9" w14:paraId="4DA2A827" w14:textId="77777777" w:rsidTr="00BE0DB9">
        <w:trPr>
          <w:cantSplit/>
        </w:trPr>
        <w:tc>
          <w:tcPr>
            <w:tcW w:w="6373" w:type="dxa"/>
            <w:tcBorders>
              <w:bottom w:val="single" w:sz="6" w:space="0" w:color="0075C9"/>
            </w:tcBorders>
            <w:tcMar>
              <w:top w:w="0" w:type="dxa"/>
              <w:left w:w="0" w:type="dxa"/>
              <w:bottom w:w="40" w:type="dxa"/>
              <w:right w:w="0" w:type="dxa"/>
            </w:tcMar>
            <w:hideMark/>
          </w:tcPr>
          <w:p w14:paraId="2AA500CA"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Emma N. Walmsley</w:t>
            </w:r>
          </w:p>
          <w:p w14:paraId="171C07B2"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CEO and Director, GSK plc</w:t>
            </w:r>
          </w:p>
        </w:tc>
        <w:tc>
          <w:tcPr>
            <w:tcW w:w="598" w:type="dxa"/>
            <w:tcBorders>
              <w:bottom w:val="single" w:sz="6" w:space="0" w:color="0075C9"/>
            </w:tcBorders>
            <w:noWrap/>
            <w:tcMar>
              <w:top w:w="0" w:type="dxa"/>
              <w:left w:w="144" w:type="dxa"/>
              <w:bottom w:w="0" w:type="dxa"/>
              <w:right w:w="0" w:type="dxa"/>
            </w:tcMar>
            <w:vAlign w:val="center"/>
            <w:hideMark/>
          </w:tcPr>
          <w:p w14:paraId="296007FD" w14:textId="77777777" w:rsidR="00D246A9" w:rsidRDefault="00D246A9">
            <w:pPr>
              <w:jc w:val="center"/>
              <w:rPr>
                <w:rFonts w:ascii="Arial" w:hAnsi="Arial" w:cs="Arial"/>
                <w:sz w:val="18"/>
                <w:szCs w:val="18"/>
              </w:rPr>
            </w:pPr>
            <w:r>
              <w:rPr>
                <w:rFonts w:ascii="Arial" w:hAnsi="Arial" w:cs="Arial"/>
                <w:sz w:val="18"/>
                <w:szCs w:val="18"/>
              </w:rPr>
              <w:t>54</w:t>
            </w:r>
          </w:p>
        </w:tc>
        <w:tc>
          <w:tcPr>
            <w:tcW w:w="1036" w:type="dxa"/>
            <w:tcBorders>
              <w:bottom w:val="single" w:sz="6" w:space="0" w:color="0075C9"/>
            </w:tcBorders>
            <w:noWrap/>
            <w:tcMar>
              <w:top w:w="0" w:type="dxa"/>
              <w:left w:w="144" w:type="dxa"/>
              <w:bottom w:w="0" w:type="dxa"/>
              <w:right w:w="0" w:type="dxa"/>
            </w:tcMar>
            <w:vAlign w:val="center"/>
            <w:hideMark/>
          </w:tcPr>
          <w:p w14:paraId="641F43F5" w14:textId="77777777" w:rsidR="00D246A9" w:rsidRDefault="00D246A9">
            <w:pPr>
              <w:jc w:val="center"/>
              <w:rPr>
                <w:rFonts w:ascii="Arial" w:hAnsi="Arial" w:cs="Arial"/>
                <w:sz w:val="18"/>
                <w:szCs w:val="18"/>
              </w:rPr>
            </w:pPr>
            <w:r>
              <w:rPr>
                <w:rFonts w:ascii="Arial" w:hAnsi="Arial" w:cs="Arial"/>
                <w:sz w:val="18"/>
                <w:szCs w:val="18"/>
              </w:rPr>
              <w:t>2019</w:t>
            </w:r>
          </w:p>
        </w:tc>
        <w:tc>
          <w:tcPr>
            <w:tcW w:w="1337" w:type="dxa"/>
            <w:tcBorders>
              <w:bottom w:val="single" w:sz="6" w:space="0" w:color="0075C9"/>
            </w:tcBorders>
            <w:noWrap/>
            <w:tcMar>
              <w:top w:w="0" w:type="dxa"/>
              <w:left w:w="144" w:type="dxa"/>
              <w:bottom w:w="0" w:type="dxa"/>
              <w:right w:w="0" w:type="dxa"/>
            </w:tcMar>
            <w:vAlign w:val="center"/>
            <w:hideMark/>
          </w:tcPr>
          <w:p w14:paraId="1E7F000C"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0931915F" w14:textId="77777777" w:rsidR="00D246A9" w:rsidRDefault="00D246A9">
            <w:pPr>
              <w:jc w:val="center"/>
              <w:rPr>
                <w:rFonts w:ascii="Arial" w:hAnsi="Arial" w:cs="Arial"/>
                <w:sz w:val="18"/>
                <w:szCs w:val="18"/>
              </w:rPr>
            </w:pPr>
            <w:r>
              <w:rPr>
                <w:rFonts w:ascii="Arial" w:hAnsi="Arial" w:cs="Arial"/>
                <w:sz w:val="18"/>
                <w:szCs w:val="18"/>
              </w:rPr>
              <w:t>1</w:t>
            </w:r>
            <w:r>
              <w:rPr>
                <w:rFonts w:ascii="Arial" w:hAnsi="Arial" w:cs="Arial"/>
                <w:sz w:val="18"/>
                <w:szCs w:val="18"/>
              </w:rPr>
              <w:t> </w:t>
            </w:r>
          </w:p>
        </w:tc>
      </w:tr>
    </w:tbl>
    <w:p w14:paraId="7419B44F" w14:textId="590223AF" w:rsidR="00D246A9" w:rsidRPr="00306F7C" w:rsidRDefault="0022278A" w:rsidP="00647B28">
      <w:pPr>
        <w:pStyle w:val="NormalWeb"/>
        <w:pageBreakBefore/>
        <w:spacing w:before="180" w:beforeAutospacing="0" w:after="0" w:afterAutospacing="0"/>
        <w:rPr>
          <w:rFonts w:ascii="Arial" w:hAnsi="Arial" w:cs="Arial"/>
          <w:sz w:val="28"/>
          <w:szCs w:val="28"/>
        </w:rPr>
      </w:pPr>
      <w:r>
        <w:rPr>
          <w:noProof/>
          <w:sz w:val="2"/>
          <w:szCs w:val="2"/>
        </w:rPr>
        <w:lastRenderedPageBreak/>
        <mc:AlternateContent>
          <mc:Choice Requires="wps">
            <w:drawing>
              <wp:anchor distT="0" distB="0" distL="114300" distR="114300" simplePos="0" relativeHeight="251678719" behindDoc="1" locked="0" layoutInCell="1" allowOverlap="1" wp14:anchorId="68351DF9" wp14:editId="78D6BFBF">
                <wp:simplePos x="0" y="0"/>
                <wp:positionH relativeFrom="column">
                  <wp:posOffset>-174929</wp:posOffset>
                </wp:positionH>
                <wp:positionV relativeFrom="paragraph">
                  <wp:posOffset>-86470</wp:posOffset>
                </wp:positionV>
                <wp:extent cx="7153027" cy="8657590"/>
                <wp:effectExtent l="19050" t="19050" r="10160" b="10160"/>
                <wp:wrapNone/>
                <wp:docPr id="250472397" name="Rectangle 250472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3027" cy="8657590"/>
                        </a:xfrm>
                        <a:prstGeom prst="rect">
                          <a:avLst/>
                        </a:prstGeom>
                        <a:solidFill>
                          <a:srgbClr val="FFFFFF"/>
                        </a:solidFill>
                        <a:ln w="28575">
                          <a:solidFill>
                            <a:srgbClr val="0075C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36526" id="Rectangle 250472397" o:spid="_x0000_s1026" alt="&quot;&quot;" style="position:absolute;margin-left:-13.75pt;margin-top:-6.8pt;width:563.25pt;height:681.7pt;z-index:-251637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" strokecolor="#0075c9" strokeweight="2.25pt"/>
            </w:pict>
          </mc:Fallback>
        </mc:AlternateContent>
      </w:r>
      <w:r w:rsidR="00D246A9">
        <w:rPr>
          <w:rFonts w:ascii="Arial" w:hAnsi="Arial" w:cs="Arial"/>
          <w:b/>
          <w:bCs/>
          <w:color w:val="0075C9"/>
          <w:sz w:val="28"/>
          <w:szCs w:val="28"/>
        </w:rPr>
        <w:t xml:space="preserve">Committee Memberships </w:t>
      </w:r>
    </w:p>
    <w:p w14:paraId="19273A3B" w14:textId="7D1DA52E" w:rsidR="00D246A9" w:rsidRDefault="00D246A9" w:rsidP="0059700E">
      <w:pPr>
        <w:pStyle w:val="NormalWeb"/>
        <w:spacing w:before="60" w:beforeAutospacing="0" w:after="0" w:afterAutospacing="0"/>
        <w:rPr>
          <w:rFonts w:ascii="Arial" w:hAnsi="Arial" w:cs="Arial"/>
          <w:sz w:val="18"/>
          <w:szCs w:val="18"/>
        </w:rPr>
      </w:pPr>
      <w:r>
        <w:rPr>
          <w:rFonts w:ascii="Arial" w:hAnsi="Arial" w:cs="Arial"/>
          <w:sz w:val="18"/>
          <w:szCs w:val="18"/>
        </w:rPr>
        <w:t xml:space="preserve">The following table provides current membership for each Board committee. </w:t>
      </w:r>
    </w:p>
    <w:p w14:paraId="10F1A2E8" w14:textId="77777777" w:rsidR="00D246A9" w:rsidRDefault="00D246A9" w:rsidP="00647B28">
      <w:pPr>
        <w:pStyle w:val="NormalWeb"/>
        <w:keepNext/>
        <w:spacing w:before="0" w:beforeAutospacing="0" w:after="0" w:afterAutospacing="0"/>
      </w:pPr>
      <w:r>
        <w:t> </w:t>
      </w:r>
    </w:p>
    <w:tbl>
      <w:tblPr>
        <w:tblW w:w="0" w:type="auto"/>
        <w:tblLayout w:type="fixed"/>
        <w:tblCellMar>
          <w:left w:w="0" w:type="dxa"/>
          <w:right w:w="0" w:type="dxa"/>
        </w:tblCellMar>
        <w:tblLook w:val="06A0" w:firstRow="1" w:lastRow="0" w:firstColumn="1" w:lastColumn="0" w:noHBand="1" w:noVBand="1"/>
      </w:tblPr>
      <w:tblGrid>
        <w:gridCol w:w="2916"/>
        <w:gridCol w:w="1920"/>
        <w:gridCol w:w="1920"/>
        <w:gridCol w:w="2124"/>
        <w:gridCol w:w="1920"/>
      </w:tblGrid>
      <w:tr w:rsidR="00D246A9" w14:paraId="492EA923" w14:textId="77777777" w:rsidTr="0059700E">
        <w:trPr>
          <w:cantSplit/>
          <w:tblHeader/>
        </w:trPr>
        <w:tc>
          <w:tcPr>
            <w:tcW w:w="2916" w:type="dxa"/>
            <w:tcBorders>
              <w:bottom w:val="single" w:sz="8" w:space="0" w:color="000000"/>
            </w:tcBorders>
            <w:tcMar>
              <w:top w:w="0" w:type="dxa"/>
              <w:left w:w="0" w:type="dxa"/>
              <w:bottom w:w="40" w:type="dxa"/>
              <w:right w:w="0" w:type="dxa"/>
            </w:tcMar>
            <w:vAlign w:val="bottom"/>
            <w:hideMark/>
          </w:tcPr>
          <w:p w14:paraId="0793FD72"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w:t>
            </w:r>
          </w:p>
        </w:tc>
        <w:tc>
          <w:tcPr>
            <w:tcW w:w="1920" w:type="dxa"/>
            <w:tcBorders>
              <w:bottom w:val="single" w:sz="8" w:space="0" w:color="000000"/>
            </w:tcBorders>
            <w:tcMar>
              <w:top w:w="0" w:type="dxa"/>
              <w:left w:w="144" w:type="dxa"/>
              <w:bottom w:w="0" w:type="dxa"/>
              <w:right w:w="0" w:type="dxa"/>
            </w:tcMar>
            <w:vAlign w:val="bottom"/>
            <w:hideMark/>
          </w:tcPr>
          <w:p w14:paraId="536EBAA8" w14:textId="77777777" w:rsidR="00D246A9" w:rsidRDefault="00D246A9">
            <w:pPr>
              <w:jc w:val="center"/>
              <w:rPr>
                <w:rFonts w:ascii="Arial" w:hAnsi="Arial" w:cs="Arial"/>
                <w:sz w:val="18"/>
                <w:szCs w:val="18"/>
              </w:rPr>
            </w:pPr>
            <w:r>
              <w:rPr>
                <w:rFonts w:ascii="Arial" w:hAnsi="Arial" w:cs="Arial"/>
                <w:b/>
                <w:bCs/>
                <w:sz w:val="18"/>
                <w:szCs w:val="18"/>
              </w:rPr>
              <w:t>Audit</w:t>
            </w:r>
          </w:p>
        </w:tc>
        <w:tc>
          <w:tcPr>
            <w:tcW w:w="1920" w:type="dxa"/>
            <w:tcBorders>
              <w:bottom w:val="single" w:sz="8" w:space="0" w:color="000000"/>
            </w:tcBorders>
            <w:tcMar>
              <w:top w:w="0" w:type="dxa"/>
              <w:left w:w="144" w:type="dxa"/>
              <w:bottom w:w="0" w:type="dxa"/>
              <w:right w:w="0" w:type="dxa"/>
            </w:tcMar>
            <w:vAlign w:val="bottom"/>
            <w:hideMark/>
          </w:tcPr>
          <w:p w14:paraId="59FB9A5E" w14:textId="77777777" w:rsidR="00D246A9" w:rsidRDefault="00D246A9">
            <w:pPr>
              <w:jc w:val="center"/>
              <w:rPr>
                <w:rFonts w:ascii="Arial" w:hAnsi="Arial" w:cs="Arial"/>
                <w:sz w:val="18"/>
                <w:szCs w:val="18"/>
              </w:rPr>
            </w:pPr>
            <w:r>
              <w:rPr>
                <w:rFonts w:ascii="Arial" w:hAnsi="Arial" w:cs="Arial"/>
                <w:b/>
                <w:bCs/>
                <w:sz w:val="18"/>
                <w:szCs w:val="18"/>
              </w:rPr>
              <w:t>Compensation</w:t>
            </w:r>
          </w:p>
        </w:tc>
        <w:tc>
          <w:tcPr>
            <w:tcW w:w="2124" w:type="dxa"/>
            <w:tcBorders>
              <w:bottom w:val="single" w:sz="8" w:space="0" w:color="000000"/>
            </w:tcBorders>
            <w:tcMar>
              <w:top w:w="0" w:type="dxa"/>
              <w:left w:w="144" w:type="dxa"/>
              <w:bottom w:w="0" w:type="dxa"/>
              <w:right w:w="0" w:type="dxa"/>
            </w:tcMar>
            <w:vAlign w:val="bottom"/>
            <w:hideMark/>
          </w:tcPr>
          <w:p w14:paraId="245DF219" w14:textId="77777777" w:rsidR="00D246A9" w:rsidRDefault="00D246A9">
            <w:pPr>
              <w:jc w:val="center"/>
              <w:rPr>
                <w:rFonts w:ascii="Arial" w:hAnsi="Arial" w:cs="Arial"/>
                <w:sz w:val="18"/>
                <w:szCs w:val="18"/>
              </w:rPr>
            </w:pPr>
            <w:r>
              <w:rPr>
                <w:rFonts w:ascii="Arial" w:hAnsi="Arial" w:cs="Arial"/>
                <w:b/>
                <w:bCs/>
                <w:sz w:val="18"/>
                <w:szCs w:val="18"/>
              </w:rPr>
              <w:t>Environmental, Social,</w:t>
            </w:r>
            <w:r>
              <w:rPr>
                <w:rFonts w:ascii="Arial" w:hAnsi="Arial" w:cs="Arial"/>
                <w:b/>
                <w:bCs/>
                <w:sz w:val="18"/>
                <w:szCs w:val="18"/>
              </w:rPr>
              <w:br/>
              <w:t>and Public Policy</w:t>
            </w:r>
          </w:p>
        </w:tc>
        <w:tc>
          <w:tcPr>
            <w:tcW w:w="1920" w:type="dxa"/>
            <w:tcBorders>
              <w:bottom w:val="single" w:sz="8" w:space="0" w:color="000000"/>
            </w:tcBorders>
            <w:tcMar>
              <w:top w:w="0" w:type="dxa"/>
              <w:left w:w="144" w:type="dxa"/>
              <w:bottom w:w="0" w:type="dxa"/>
              <w:right w:w="0" w:type="dxa"/>
            </w:tcMar>
            <w:vAlign w:val="bottom"/>
            <w:hideMark/>
          </w:tcPr>
          <w:p w14:paraId="431D7CC7" w14:textId="77777777" w:rsidR="00D246A9" w:rsidRPr="00306F7C" w:rsidRDefault="00D246A9">
            <w:pPr>
              <w:pStyle w:val="NormalWeb"/>
              <w:spacing w:before="0" w:beforeAutospacing="0" w:after="0" w:afterAutospacing="0"/>
              <w:jc w:val="center"/>
              <w:rPr>
                <w:rFonts w:ascii="Arial" w:hAnsi="Arial" w:cs="Arial"/>
                <w:sz w:val="18"/>
                <w:szCs w:val="18"/>
              </w:rPr>
            </w:pPr>
            <w:r>
              <w:rPr>
                <w:rFonts w:ascii="Arial" w:hAnsi="Arial" w:cs="Arial"/>
                <w:b/>
                <w:bCs/>
                <w:sz w:val="18"/>
                <w:szCs w:val="18"/>
              </w:rPr>
              <w:t>Governance and</w:t>
            </w:r>
            <w:r>
              <w:rPr>
                <w:rFonts w:ascii="Arial" w:hAnsi="Arial" w:cs="Arial"/>
                <w:b/>
                <w:bCs/>
                <w:sz w:val="18"/>
                <w:szCs w:val="18"/>
              </w:rPr>
              <w:t> </w:t>
            </w:r>
            <w:r>
              <w:rPr>
                <w:rFonts w:ascii="Arial" w:hAnsi="Arial" w:cs="Arial"/>
                <w:b/>
                <w:bCs/>
                <w:sz w:val="18"/>
                <w:szCs w:val="18"/>
              </w:rPr>
              <w:t> </w:t>
            </w:r>
          </w:p>
          <w:p w14:paraId="5D48B402"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Nominating</w:t>
            </w:r>
            <w:r>
              <w:rPr>
                <w:rFonts w:ascii="Arial" w:hAnsi="Arial" w:cs="Arial"/>
                <w:b/>
                <w:bCs/>
                <w:sz w:val="18"/>
                <w:szCs w:val="18"/>
              </w:rPr>
              <w:t> </w:t>
            </w:r>
            <w:r>
              <w:rPr>
                <w:rFonts w:ascii="Arial" w:hAnsi="Arial" w:cs="Arial"/>
                <w:b/>
                <w:bCs/>
                <w:sz w:val="18"/>
                <w:szCs w:val="18"/>
              </w:rPr>
              <w:t> </w:t>
            </w:r>
          </w:p>
        </w:tc>
      </w:tr>
      <w:tr w:rsidR="00D246A9" w14:paraId="52C98D0F" w14:textId="77777777" w:rsidTr="0059700E">
        <w:trPr>
          <w:cantSplit/>
        </w:trPr>
        <w:tc>
          <w:tcPr>
            <w:tcW w:w="2916" w:type="dxa"/>
            <w:tcBorders>
              <w:bottom w:val="single" w:sz="6" w:space="0" w:color="0075C9"/>
            </w:tcBorders>
            <w:tcMar>
              <w:top w:w="0" w:type="dxa"/>
              <w:left w:w="0" w:type="dxa"/>
              <w:bottom w:w="40" w:type="dxa"/>
              <w:right w:w="0" w:type="dxa"/>
            </w:tcMar>
            <w:vAlign w:val="center"/>
            <w:hideMark/>
          </w:tcPr>
          <w:p w14:paraId="59FFE2ED"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Reid G. Hoffman</w:t>
            </w:r>
          </w:p>
        </w:tc>
        <w:tc>
          <w:tcPr>
            <w:tcW w:w="1920" w:type="dxa"/>
            <w:tcBorders>
              <w:bottom w:val="single" w:sz="6" w:space="0" w:color="0075C9"/>
            </w:tcBorders>
            <w:noWrap/>
            <w:tcMar>
              <w:top w:w="0" w:type="dxa"/>
              <w:left w:w="144" w:type="dxa"/>
              <w:bottom w:w="0" w:type="dxa"/>
              <w:right w:w="0" w:type="dxa"/>
            </w:tcMar>
            <w:vAlign w:val="center"/>
            <w:hideMark/>
          </w:tcPr>
          <w:p w14:paraId="48B17F21" w14:textId="4AAB9DB7" w:rsidR="00D246A9" w:rsidRPr="0059700E" w:rsidRDefault="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c>
          <w:tcPr>
            <w:tcW w:w="1920" w:type="dxa"/>
            <w:tcBorders>
              <w:bottom w:val="single" w:sz="6" w:space="0" w:color="0075C9"/>
            </w:tcBorders>
            <w:noWrap/>
            <w:tcMar>
              <w:top w:w="0" w:type="dxa"/>
              <w:left w:w="144" w:type="dxa"/>
              <w:bottom w:w="0" w:type="dxa"/>
              <w:right w:w="0" w:type="dxa"/>
            </w:tcMar>
            <w:vAlign w:val="center"/>
            <w:hideMark/>
          </w:tcPr>
          <w:p w14:paraId="5C66F771" w14:textId="2E4CDEB1" w:rsidR="00D246A9" w:rsidRPr="0059700E" w:rsidRDefault="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c>
          <w:tcPr>
            <w:tcW w:w="2124" w:type="dxa"/>
            <w:tcBorders>
              <w:bottom w:val="single" w:sz="6" w:space="0" w:color="0075C9"/>
            </w:tcBorders>
            <w:noWrap/>
            <w:tcMar>
              <w:top w:w="0" w:type="dxa"/>
              <w:left w:w="144" w:type="dxa"/>
              <w:bottom w:w="0" w:type="dxa"/>
              <w:right w:w="0" w:type="dxa"/>
            </w:tcMar>
            <w:vAlign w:val="center"/>
            <w:hideMark/>
          </w:tcPr>
          <w:p w14:paraId="752F9DD0" w14:textId="77777777" w:rsidR="00D246A9" w:rsidRDefault="00D246A9">
            <w:pPr>
              <w:jc w:val="center"/>
              <w:rPr>
                <w:rFonts w:ascii="Arial" w:hAnsi="Arial" w:cs="Arial"/>
                <w:sz w:val="18"/>
                <w:szCs w:val="18"/>
              </w:rPr>
            </w:pPr>
            <w:r>
              <w:rPr>
                <w:rFonts w:ascii="Arial" w:hAnsi="Arial" w:cs="Arial"/>
                <w:sz w:val="18"/>
                <w:szCs w:val="18"/>
              </w:rPr>
              <w:t>Member</w:t>
            </w:r>
          </w:p>
        </w:tc>
        <w:tc>
          <w:tcPr>
            <w:tcW w:w="1920" w:type="dxa"/>
            <w:tcBorders>
              <w:bottom w:val="single" w:sz="6" w:space="0" w:color="0075C9"/>
            </w:tcBorders>
            <w:noWrap/>
            <w:tcMar>
              <w:top w:w="0" w:type="dxa"/>
              <w:left w:w="144" w:type="dxa"/>
              <w:bottom w:w="0" w:type="dxa"/>
              <w:right w:w="0" w:type="dxa"/>
            </w:tcMar>
            <w:vAlign w:val="center"/>
            <w:hideMark/>
          </w:tcPr>
          <w:p w14:paraId="3EC626C1" w14:textId="0E05CD1F" w:rsidR="00D246A9" w:rsidRPr="0059700E" w:rsidRDefault="0059700E" w:rsidP="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r>
      <w:tr w:rsidR="00D246A9" w14:paraId="6985FDB0" w14:textId="77777777" w:rsidTr="0059700E">
        <w:trPr>
          <w:cantSplit/>
        </w:trPr>
        <w:tc>
          <w:tcPr>
            <w:tcW w:w="2916" w:type="dxa"/>
            <w:tcBorders>
              <w:bottom w:val="single" w:sz="6" w:space="0" w:color="0075C9"/>
            </w:tcBorders>
            <w:tcMar>
              <w:top w:w="0" w:type="dxa"/>
              <w:left w:w="0" w:type="dxa"/>
              <w:bottom w:w="40" w:type="dxa"/>
              <w:right w:w="0" w:type="dxa"/>
            </w:tcMar>
            <w:vAlign w:val="center"/>
            <w:hideMark/>
          </w:tcPr>
          <w:p w14:paraId="6D7F777E"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Hugh F. Johnston</w:t>
            </w:r>
          </w:p>
        </w:tc>
        <w:tc>
          <w:tcPr>
            <w:tcW w:w="1920" w:type="dxa"/>
            <w:tcBorders>
              <w:bottom w:val="single" w:sz="6" w:space="0" w:color="0075C9"/>
            </w:tcBorders>
            <w:noWrap/>
            <w:tcMar>
              <w:top w:w="0" w:type="dxa"/>
              <w:left w:w="144" w:type="dxa"/>
              <w:bottom w:w="0" w:type="dxa"/>
              <w:right w:w="0" w:type="dxa"/>
            </w:tcMar>
            <w:vAlign w:val="center"/>
            <w:hideMark/>
          </w:tcPr>
          <w:p w14:paraId="4E181B7A" w14:textId="77777777" w:rsidR="00D246A9" w:rsidRDefault="00D246A9">
            <w:pPr>
              <w:jc w:val="center"/>
              <w:rPr>
                <w:rFonts w:ascii="Arial" w:hAnsi="Arial" w:cs="Arial"/>
                <w:sz w:val="18"/>
                <w:szCs w:val="18"/>
              </w:rPr>
            </w:pPr>
            <w:r>
              <w:rPr>
                <w:rFonts w:ascii="Arial" w:hAnsi="Arial" w:cs="Arial"/>
                <w:sz w:val="18"/>
                <w:szCs w:val="18"/>
              </w:rPr>
              <w:t>Chair,</w:t>
            </w:r>
          </w:p>
          <w:p w14:paraId="0DE2F728" w14:textId="77777777" w:rsidR="00D246A9" w:rsidRPr="00306F7C"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Financial Expert</w:t>
            </w:r>
          </w:p>
        </w:tc>
        <w:tc>
          <w:tcPr>
            <w:tcW w:w="1920" w:type="dxa"/>
            <w:tcBorders>
              <w:bottom w:val="single" w:sz="6" w:space="0" w:color="0075C9"/>
            </w:tcBorders>
            <w:noWrap/>
            <w:tcMar>
              <w:top w:w="0" w:type="dxa"/>
              <w:left w:w="144" w:type="dxa"/>
              <w:bottom w:w="0" w:type="dxa"/>
              <w:right w:w="0" w:type="dxa"/>
            </w:tcMar>
            <w:vAlign w:val="center"/>
            <w:hideMark/>
          </w:tcPr>
          <w:p w14:paraId="57307938" w14:textId="5607FA73" w:rsidR="00D246A9" w:rsidRPr="0059700E" w:rsidRDefault="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c>
          <w:tcPr>
            <w:tcW w:w="2124" w:type="dxa"/>
            <w:tcBorders>
              <w:bottom w:val="single" w:sz="6" w:space="0" w:color="0075C9"/>
            </w:tcBorders>
            <w:noWrap/>
            <w:tcMar>
              <w:top w:w="0" w:type="dxa"/>
              <w:left w:w="144" w:type="dxa"/>
              <w:bottom w:w="0" w:type="dxa"/>
              <w:right w:w="0" w:type="dxa"/>
            </w:tcMar>
            <w:vAlign w:val="center"/>
            <w:hideMark/>
          </w:tcPr>
          <w:p w14:paraId="79A74251" w14:textId="064C9AAD" w:rsidR="00D246A9" w:rsidRPr="0059700E" w:rsidRDefault="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c>
          <w:tcPr>
            <w:tcW w:w="1920" w:type="dxa"/>
            <w:tcBorders>
              <w:bottom w:val="single" w:sz="6" w:space="0" w:color="0075C9"/>
            </w:tcBorders>
            <w:noWrap/>
            <w:tcMar>
              <w:top w:w="0" w:type="dxa"/>
              <w:left w:w="144" w:type="dxa"/>
              <w:bottom w:w="0" w:type="dxa"/>
              <w:right w:w="0" w:type="dxa"/>
            </w:tcMar>
            <w:vAlign w:val="center"/>
            <w:hideMark/>
          </w:tcPr>
          <w:p w14:paraId="20A809A0" w14:textId="19734EEE" w:rsidR="00D246A9" w:rsidRPr="0059700E" w:rsidRDefault="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r>
      <w:tr w:rsidR="00D246A9" w14:paraId="3D4DE2F0" w14:textId="77777777" w:rsidTr="0059700E">
        <w:trPr>
          <w:cantSplit/>
        </w:trPr>
        <w:tc>
          <w:tcPr>
            <w:tcW w:w="2916" w:type="dxa"/>
            <w:tcBorders>
              <w:bottom w:val="single" w:sz="6" w:space="0" w:color="0075C9"/>
            </w:tcBorders>
            <w:tcMar>
              <w:top w:w="0" w:type="dxa"/>
              <w:left w:w="0" w:type="dxa"/>
              <w:bottom w:w="40" w:type="dxa"/>
              <w:right w:w="0" w:type="dxa"/>
            </w:tcMar>
            <w:vAlign w:val="center"/>
            <w:hideMark/>
          </w:tcPr>
          <w:p w14:paraId="33DA92A9"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Teri L. List</w:t>
            </w:r>
          </w:p>
        </w:tc>
        <w:tc>
          <w:tcPr>
            <w:tcW w:w="1920" w:type="dxa"/>
            <w:tcBorders>
              <w:bottom w:val="single" w:sz="6" w:space="0" w:color="0075C9"/>
            </w:tcBorders>
            <w:noWrap/>
            <w:tcMar>
              <w:top w:w="0" w:type="dxa"/>
              <w:left w:w="144" w:type="dxa"/>
              <w:bottom w:w="0" w:type="dxa"/>
              <w:right w:w="0" w:type="dxa"/>
            </w:tcMar>
            <w:vAlign w:val="center"/>
            <w:hideMark/>
          </w:tcPr>
          <w:p w14:paraId="6339215A" w14:textId="77777777" w:rsidR="00D246A9" w:rsidRDefault="00D246A9">
            <w:pPr>
              <w:jc w:val="center"/>
              <w:rPr>
                <w:rFonts w:ascii="Arial" w:hAnsi="Arial" w:cs="Arial"/>
                <w:sz w:val="18"/>
                <w:szCs w:val="18"/>
              </w:rPr>
            </w:pPr>
            <w:r>
              <w:rPr>
                <w:rFonts w:ascii="Arial" w:hAnsi="Arial" w:cs="Arial"/>
                <w:sz w:val="18"/>
                <w:szCs w:val="18"/>
              </w:rPr>
              <w:t>Financial Expert</w:t>
            </w:r>
            <w:r>
              <w:rPr>
                <w:rFonts w:ascii="Arial" w:hAnsi="Arial" w:cs="Arial"/>
                <w:sz w:val="18"/>
                <w:szCs w:val="18"/>
              </w:rPr>
              <w:br/>
              <w:t>and Member</w:t>
            </w:r>
          </w:p>
        </w:tc>
        <w:tc>
          <w:tcPr>
            <w:tcW w:w="1920" w:type="dxa"/>
            <w:tcBorders>
              <w:bottom w:val="single" w:sz="6" w:space="0" w:color="0075C9"/>
            </w:tcBorders>
            <w:noWrap/>
            <w:tcMar>
              <w:top w:w="0" w:type="dxa"/>
              <w:left w:w="144" w:type="dxa"/>
              <w:bottom w:w="0" w:type="dxa"/>
              <w:right w:w="0" w:type="dxa"/>
            </w:tcMar>
            <w:vAlign w:val="center"/>
            <w:hideMark/>
          </w:tcPr>
          <w:p w14:paraId="21C1703C" w14:textId="0B1FF8EE" w:rsidR="00D246A9" w:rsidRDefault="0059700E" w:rsidP="0059700E">
            <w:pPr>
              <w:rPr>
                <w:rFonts w:ascii="Arial" w:hAnsi="Arial" w:cs="Arial"/>
                <w:sz w:val="18"/>
                <w:szCs w:val="18"/>
              </w:rPr>
            </w:pPr>
            <w:r w:rsidRPr="0059700E">
              <w:rPr>
                <w:rFonts w:ascii="Arial" w:hAnsi="Arial" w:cs="Arial"/>
                <w:color w:val="FFFFFF" w:themeColor="background1"/>
                <w:sz w:val="18"/>
                <w:szCs w:val="18"/>
              </w:rPr>
              <w:t>NA</w:t>
            </w:r>
          </w:p>
        </w:tc>
        <w:tc>
          <w:tcPr>
            <w:tcW w:w="2124" w:type="dxa"/>
            <w:tcBorders>
              <w:bottom w:val="single" w:sz="6" w:space="0" w:color="0075C9"/>
            </w:tcBorders>
            <w:noWrap/>
            <w:tcMar>
              <w:top w:w="0" w:type="dxa"/>
              <w:left w:w="144" w:type="dxa"/>
              <w:bottom w:w="0" w:type="dxa"/>
              <w:right w:w="0" w:type="dxa"/>
            </w:tcMar>
            <w:vAlign w:val="center"/>
            <w:hideMark/>
          </w:tcPr>
          <w:p w14:paraId="14FB6EEA" w14:textId="649D6C32" w:rsidR="00D246A9" w:rsidRPr="0059700E" w:rsidRDefault="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c>
          <w:tcPr>
            <w:tcW w:w="1920" w:type="dxa"/>
            <w:tcBorders>
              <w:bottom w:val="single" w:sz="6" w:space="0" w:color="0075C9"/>
            </w:tcBorders>
            <w:noWrap/>
            <w:tcMar>
              <w:top w:w="0" w:type="dxa"/>
              <w:left w:w="144" w:type="dxa"/>
              <w:bottom w:w="0" w:type="dxa"/>
              <w:right w:w="0" w:type="dxa"/>
            </w:tcMar>
            <w:vAlign w:val="center"/>
            <w:hideMark/>
          </w:tcPr>
          <w:p w14:paraId="0CDAB491" w14:textId="535F4D8F" w:rsidR="00D246A9" w:rsidRDefault="00D246A9">
            <w:pPr>
              <w:jc w:val="center"/>
              <w:rPr>
                <w:rFonts w:ascii="Arial" w:hAnsi="Arial" w:cs="Arial"/>
                <w:sz w:val="18"/>
                <w:szCs w:val="18"/>
              </w:rPr>
            </w:pPr>
            <w:r>
              <w:rPr>
                <w:rFonts w:ascii="Arial" w:hAnsi="Arial" w:cs="Arial"/>
                <w:sz w:val="18"/>
                <w:szCs w:val="18"/>
              </w:rPr>
              <w:t>Member</w:t>
            </w:r>
            <w:r>
              <w:rPr>
                <w:rFonts w:ascii="Arial" w:hAnsi="Arial" w:cs="Arial"/>
                <w:sz w:val="18"/>
                <w:szCs w:val="18"/>
              </w:rPr>
              <w:t> </w:t>
            </w:r>
            <w:r>
              <w:rPr>
                <w:rFonts w:ascii="Arial" w:hAnsi="Arial" w:cs="Arial"/>
                <w:sz w:val="18"/>
                <w:szCs w:val="18"/>
              </w:rPr>
              <w:t> </w:t>
            </w:r>
          </w:p>
        </w:tc>
      </w:tr>
      <w:tr w:rsidR="00D246A9" w14:paraId="27F2307F" w14:textId="77777777" w:rsidTr="0059700E">
        <w:trPr>
          <w:cantSplit/>
        </w:trPr>
        <w:tc>
          <w:tcPr>
            <w:tcW w:w="2916" w:type="dxa"/>
            <w:tcBorders>
              <w:bottom w:val="single" w:sz="6" w:space="0" w:color="0075C9"/>
            </w:tcBorders>
            <w:tcMar>
              <w:top w:w="0" w:type="dxa"/>
              <w:left w:w="0" w:type="dxa"/>
              <w:bottom w:w="40" w:type="dxa"/>
              <w:right w:w="0" w:type="dxa"/>
            </w:tcMar>
            <w:vAlign w:val="center"/>
            <w:hideMark/>
          </w:tcPr>
          <w:p w14:paraId="6F50E9F3"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920" w:type="dxa"/>
            <w:tcBorders>
              <w:bottom w:val="single" w:sz="6" w:space="0" w:color="0075C9"/>
            </w:tcBorders>
            <w:noWrap/>
            <w:tcMar>
              <w:top w:w="0" w:type="dxa"/>
              <w:left w:w="144" w:type="dxa"/>
              <w:bottom w:w="0" w:type="dxa"/>
              <w:right w:w="0" w:type="dxa"/>
            </w:tcMar>
            <w:vAlign w:val="center"/>
            <w:hideMark/>
          </w:tcPr>
          <w:p w14:paraId="0E2C03F2" w14:textId="7C4A1A29" w:rsidR="00D246A9" w:rsidRPr="0059700E" w:rsidRDefault="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c>
          <w:tcPr>
            <w:tcW w:w="1920" w:type="dxa"/>
            <w:tcBorders>
              <w:bottom w:val="single" w:sz="6" w:space="0" w:color="0075C9"/>
            </w:tcBorders>
            <w:noWrap/>
            <w:tcMar>
              <w:top w:w="0" w:type="dxa"/>
              <w:left w:w="144" w:type="dxa"/>
              <w:bottom w:w="0" w:type="dxa"/>
              <w:right w:w="0" w:type="dxa"/>
            </w:tcMar>
            <w:vAlign w:val="center"/>
            <w:hideMark/>
          </w:tcPr>
          <w:p w14:paraId="49A00759" w14:textId="742CF89A" w:rsidR="00D246A9" w:rsidRDefault="0059700E">
            <w:pPr>
              <w:rPr>
                <w:sz w:val="20"/>
              </w:rPr>
            </w:pPr>
            <w:r w:rsidRPr="0059700E">
              <w:rPr>
                <w:rFonts w:ascii="Arial" w:hAnsi="Arial" w:cs="Arial"/>
                <w:color w:val="FFFFFF" w:themeColor="background1"/>
                <w:sz w:val="18"/>
                <w:szCs w:val="18"/>
              </w:rPr>
              <w:t>NA</w:t>
            </w:r>
          </w:p>
        </w:tc>
        <w:tc>
          <w:tcPr>
            <w:tcW w:w="2124" w:type="dxa"/>
            <w:tcBorders>
              <w:bottom w:val="single" w:sz="6" w:space="0" w:color="0075C9"/>
            </w:tcBorders>
            <w:noWrap/>
            <w:tcMar>
              <w:top w:w="0" w:type="dxa"/>
              <w:left w:w="144" w:type="dxa"/>
              <w:bottom w:w="0" w:type="dxa"/>
              <w:right w:w="0" w:type="dxa"/>
            </w:tcMar>
            <w:vAlign w:val="center"/>
            <w:hideMark/>
          </w:tcPr>
          <w:p w14:paraId="1B46B029" w14:textId="7AF06A5A" w:rsidR="00D246A9" w:rsidRPr="0059700E" w:rsidRDefault="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c>
          <w:tcPr>
            <w:tcW w:w="1920" w:type="dxa"/>
            <w:tcBorders>
              <w:bottom w:val="single" w:sz="6" w:space="0" w:color="0075C9"/>
            </w:tcBorders>
            <w:noWrap/>
            <w:tcMar>
              <w:top w:w="0" w:type="dxa"/>
              <w:left w:w="144" w:type="dxa"/>
              <w:bottom w:w="0" w:type="dxa"/>
              <w:right w:w="0" w:type="dxa"/>
            </w:tcMar>
            <w:vAlign w:val="center"/>
            <w:hideMark/>
          </w:tcPr>
          <w:p w14:paraId="01E0CBAC" w14:textId="77A7C9AA" w:rsidR="00D246A9" w:rsidRPr="0059700E" w:rsidRDefault="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r>
      <w:tr w:rsidR="00D246A9" w14:paraId="318F15A5" w14:textId="77777777" w:rsidTr="0059700E">
        <w:trPr>
          <w:cantSplit/>
        </w:trPr>
        <w:tc>
          <w:tcPr>
            <w:tcW w:w="2916" w:type="dxa"/>
            <w:tcBorders>
              <w:bottom w:val="single" w:sz="6" w:space="0" w:color="0075C9"/>
            </w:tcBorders>
            <w:tcMar>
              <w:top w:w="0" w:type="dxa"/>
              <w:left w:w="0" w:type="dxa"/>
              <w:bottom w:w="40" w:type="dxa"/>
              <w:right w:w="0" w:type="dxa"/>
            </w:tcMar>
            <w:vAlign w:val="center"/>
            <w:hideMark/>
          </w:tcPr>
          <w:p w14:paraId="7219AB8D"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Sandra E. Peterson</w:t>
            </w:r>
          </w:p>
        </w:tc>
        <w:tc>
          <w:tcPr>
            <w:tcW w:w="1920" w:type="dxa"/>
            <w:tcBorders>
              <w:bottom w:val="single" w:sz="6" w:space="0" w:color="0075C9"/>
            </w:tcBorders>
            <w:noWrap/>
            <w:tcMar>
              <w:top w:w="0" w:type="dxa"/>
              <w:left w:w="144" w:type="dxa"/>
              <w:bottom w:w="0" w:type="dxa"/>
              <w:right w:w="0" w:type="dxa"/>
            </w:tcMar>
            <w:vAlign w:val="center"/>
            <w:hideMark/>
          </w:tcPr>
          <w:p w14:paraId="5DD72766" w14:textId="41DA9E97" w:rsidR="00D246A9" w:rsidRPr="0059700E" w:rsidRDefault="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c>
          <w:tcPr>
            <w:tcW w:w="1920" w:type="dxa"/>
            <w:tcBorders>
              <w:bottom w:val="single" w:sz="6" w:space="0" w:color="0075C9"/>
            </w:tcBorders>
            <w:noWrap/>
            <w:tcMar>
              <w:top w:w="0" w:type="dxa"/>
              <w:left w:w="144" w:type="dxa"/>
              <w:bottom w:w="0" w:type="dxa"/>
              <w:right w:w="0" w:type="dxa"/>
            </w:tcMar>
            <w:vAlign w:val="center"/>
            <w:hideMark/>
          </w:tcPr>
          <w:p w14:paraId="220F528B" w14:textId="77777777" w:rsidR="00D246A9" w:rsidRDefault="00D246A9">
            <w:pPr>
              <w:jc w:val="center"/>
              <w:rPr>
                <w:rFonts w:ascii="Arial" w:hAnsi="Arial" w:cs="Arial"/>
                <w:sz w:val="18"/>
                <w:szCs w:val="18"/>
              </w:rPr>
            </w:pPr>
            <w:r>
              <w:rPr>
                <w:rFonts w:ascii="Arial" w:hAnsi="Arial" w:cs="Arial"/>
                <w:sz w:val="18"/>
                <w:szCs w:val="18"/>
              </w:rPr>
              <w:t>Member</w:t>
            </w:r>
          </w:p>
        </w:tc>
        <w:tc>
          <w:tcPr>
            <w:tcW w:w="2124" w:type="dxa"/>
            <w:tcBorders>
              <w:bottom w:val="single" w:sz="6" w:space="0" w:color="0075C9"/>
            </w:tcBorders>
            <w:noWrap/>
            <w:tcMar>
              <w:top w:w="0" w:type="dxa"/>
              <w:left w:w="144" w:type="dxa"/>
              <w:bottom w:w="0" w:type="dxa"/>
              <w:right w:w="0" w:type="dxa"/>
            </w:tcMar>
            <w:vAlign w:val="center"/>
            <w:hideMark/>
          </w:tcPr>
          <w:p w14:paraId="40DE53D8" w14:textId="77777777" w:rsidR="00D246A9" w:rsidRDefault="00D246A9">
            <w:pPr>
              <w:jc w:val="cente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center"/>
            <w:hideMark/>
          </w:tcPr>
          <w:p w14:paraId="2C436BE6" w14:textId="77777777" w:rsidR="00D246A9" w:rsidRDefault="00D246A9">
            <w:pPr>
              <w:jc w:val="center"/>
              <w:rPr>
                <w:rFonts w:ascii="Arial" w:hAnsi="Arial" w:cs="Arial"/>
                <w:sz w:val="18"/>
                <w:szCs w:val="18"/>
              </w:rPr>
            </w:pPr>
            <w:r>
              <w:rPr>
                <w:rFonts w:ascii="Arial" w:hAnsi="Arial" w:cs="Arial"/>
                <w:sz w:val="18"/>
                <w:szCs w:val="18"/>
              </w:rPr>
              <w:t>Chair</w:t>
            </w:r>
            <w:r>
              <w:rPr>
                <w:rFonts w:ascii="Arial" w:hAnsi="Arial" w:cs="Arial"/>
                <w:sz w:val="18"/>
                <w:szCs w:val="18"/>
              </w:rPr>
              <w:t> </w:t>
            </w:r>
            <w:r>
              <w:rPr>
                <w:rFonts w:ascii="Arial" w:hAnsi="Arial" w:cs="Arial"/>
                <w:sz w:val="18"/>
                <w:szCs w:val="18"/>
              </w:rPr>
              <w:t> </w:t>
            </w:r>
          </w:p>
        </w:tc>
      </w:tr>
      <w:tr w:rsidR="00D246A9" w14:paraId="0F762EA2" w14:textId="77777777" w:rsidTr="0059700E">
        <w:trPr>
          <w:cantSplit/>
        </w:trPr>
        <w:tc>
          <w:tcPr>
            <w:tcW w:w="2916" w:type="dxa"/>
            <w:tcBorders>
              <w:bottom w:val="single" w:sz="6" w:space="0" w:color="0075C9"/>
            </w:tcBorders>
            <w:tcMar>
              <w:top w:w="0" w:type="dxa"/>
              <w:left w:w="0" w:type="dxa"/>
              <w:bottom w:w="40" w:type="dxa"/>
              <w:right w:w="0" w:type="dxa"/>
            </w:tcMar>
            <w:vAlign w:val="center"/>
            <w:hideMark/>
          </w:tcPr>
          <w:p w14:paraId="4D422B25"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Penny S. Pritzker</w:t>
            </w:r>
          </w:p>
        </w:tc>
        <w:tc>
          <w:tcPr>
            <w:tcW w:w="1920" w:type="dxa"/>
            <w:tcBorders>
              <w:bottom w:val="single" w:sz="6" w:space="0" w:color="0075C9"/>
            </w:tcBorders>
            <w:noWrap/>
            <w:tcMar>
              <w:top w:w="0" w:type="dxa"/>
              <w:left w:w="144" w:type="dxa"/>
              <w:bottom w:w="0" w:type="dxa"/>
              <w:right w:w="0" w:type="dxa"/>
            </w:tcMar>
            <w:vAlign w:val="center"/>
            <w:hideMark/>
          </w:tcPr>
          <w:p w14:paraId="7E7DF61E" w14:textId="7B02DEE5" w:rsidR="00D246A9" w:rsidRPr="0059700E" w:rsidRDefault="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c>
          <w:tcPr>
            <w:tcW w:w="1920" w:type="dxa"/>
            <w:tcBorders>
              <w:bottom w:val="single" w:sz="6" w:space="0" w:color="0075C9"/>
            </w:tcBorders>
            <w:noWrap/>
            <w:tcMar>
              <w:top w:w="0" w:type="dxa"/>
              <w:left w:w="144" w:type="dxa"/>
              <w:bottom w:w="0" w:type="dxa"/>
              <w:right w:w="0" w:type="dxa"/>
            </w:tcMar>
            <w:vAlign w:val="center"/>
            <w:hideMark/>
          </w:tcPr>
          <w:p w14:paraId="4157C845" w14:textId="382DE171" w:rsidR="00D246A9" w:rsidRDefault="0059700E">
            <w:pPr>
              <w:rPr>
                <w:sz w:val="20"/>
              </w:rPr>
            </w:pPr>
            <w:r w:rsidRPr="0059700E">
              <w:rPr>
                <w:rFonts w:ascii="Arial" w:hAnsi="Arial" w:cs="Arial"/>
                <w:color w:val="FFFFFF" w:themeColor="background1"/>
                <w:sz w:val="18"/>
                <w:szCs w:val="18"/>
              </w:rPr>
              <w:t>NA</w:t>
            </w:r>
          </w:p>
        </w:tc>
        <w:tc>
          <w:tcPr>
            <w:tcW w:w="2124" w:type="dxa"/>
            <w:tcBorders>
              <w:bottom w:val="single" w:sz="6" w:space="0" w:color="0075C9"/>
            </w:tcBorders>
            <w:noWrap/>
            <w:tcMar>
              <w:top w:w="0" w:type="dxa"/>
              <w:left w:w="144" w:type="dxa"/>
              <w:bottom w:w="0" w:type="dxa"/>
              <w:right w:w="0" w:type="dxa"/>
            </w:tcMar>
            <w:vAlign w:val="center"/>
            <w:hideMark/>
          </w:tcPr>
          <w:p w14:paraId="5FAAE425" w14:textId="77777777" w:rsidR="00D246A9" w:rsidRDefault="00D246A9">
            <w:pPr>
              <w:jc w:val="center"/>
              <w:rPr>
                <w:rFonts w:ascii="Arial" w:hAnsi="Arial" w:cs="Arial"/>
                <w:sz w:val="18"/>
                <w:szCs w:val="18"/>
              </w:rPr>
            </w:pPr>
            <w:r>
              <w:rPr>
                <w:rFonts w:ascii="Arial" w:hAnsi="Arial" w:cs="Arial"/>
                <w:sz w:val="18"/>
                <w:szCs w:val="18"/>
              </w:rPr>
              <w:t>Chair</w:t>
            </w:r>
          </w:p>
        </w:tc>
        <w:tc>
          <w:tcPr>
            <w:tcW w:w="1920" w:type="dxa"/>
            <w:tcBorders>
              <w:bottom w:val="single" w:sz="6" w:space="0" w:color="0075C9"/>
            </w:tcBorders>
            <w:noWrap/>
            <w:tcMar>
              <w:top w:w="0" w:type="dxa"/>
              <w:left w:w="144" w:type="dxa"/>
              <w:bottom w:w="0" w:type="dxa"/>
              <w:right w:w="0" w:type="dxa"/>
            </w:tcMar>
            <w:vAlign w:val="center"/>
            <w:hideMark/>
          </w:tcPr>
          <w:p w14:paraId="39FF3A8E" w14:textId="532E7568" w:rsidR="00D246A9" w:rsidRPr="0059700E" w:rsidRDefault="0059700E" w:rsidP="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r>
      <w:tr w:rsidR="00D246A9" w14:paraId="3BE78A1D" w14:textId="77777777" w:rsidTr="0059700E">
        <w:trPr>
          <w:cantSplit/>
        </w:trPr>
        <w:tc>
          <w:tcPr>
            <w:tcW w:w="2916" w:type="dxa"/>
            <w:tcBorders>
              <w:bottom w:val="single" w:sz="6" w:space="0" w:color="0075C9"/>
            </w:tcBorders>
            <w:tcMar>
              <w:top w:w="0" w:type="dxa"/>
              <w:left w:w="0" w:type="dxa"/>
              <w:bottom w:w="40" w:type="dxa"/>
              <w:right w:w="0" w:type="dxa"/>
            </w:tcMar>
            <w:vAlign w:val="center"/>
            <w:hideMark/>
          </w:tcPr>
          <w:p w14:paraId="0015E445"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Carlos A. Rodriguez</w:t>
            </w:r>
          </w:p>
        </w:tc>
        <w:tc>
          <w:tcPr>
            <w:tcW w:w="1920" w:type="dxa"/>
            <w:tcBorders>
              <w:bottom w:val="single" w:sz="6" w:space="0" w:color="0075C9"/>
            </w:tcBorders>
            <w:noWrap/>
            <w:tcMar>
              <w:top w:w="0" w:type="dxa"/>
              <w:left w:w="144" w:type="dxa"/>
              <w:bottom w:w="0" w:type="dxa"/>
              <w:right w:w="0" w:type="dxa"/>
            </w:tcMar>
            <w:vAlign w:val="center"/>
            <w:hideMark/>
          </w:tcPr>
          <w:p w14:paraId="62E2EB38" w14:textId="77777777" w:rsidR="00D246A9" w:rsidRDefault="00D246A9">
            <w:pPr>
              <w:jc w:val="center"/>
              <w:rPr>
                <w:rFonts w:ascii="Arial" w:hAnsi="Arial" w:cs="Arial"/>
                <w:sz w:val="18"/>
                <w:szCs w:val="18"/>
              </w:rPr>
            </w:pPr>
            <w:r>
              <w:rPr>
                <w:rFonts w:ascii="Arial" w:hAnsi="Arial" w:cs="Arial"/>
                <w:sz w:val="18"/>
                <w:szCs w:val="18"/>
              </w:rPr>
              <w:t>Financial Expert</w:t>
            </w:r>
            <w:r>
              <w:rPr>
                <w:rFonts w:ascii="Arial" w:hAnsi="Arial" w:cs="Arial"/>
                <w:sz w:val="18"/>
                <w:szCs w:val="18"/>
              </w:rPr>
              <w:br/>
              <w:t>and Member</w:t>
            </w:r>
          </w:p>
        </w:tc>
        <w:tc>
          <w:tcPr>
            <w:tcW w:w="1920" w:type="dxa"/>
            <w:tcBorders>
              <w:bottom w:val="single" w:sz="6" w:space="0" w:color="0075C9"/>
            </w:tcBorders>
            <w:noWrap/>
            <w:tcMar>
              <w:top w:w="0" w:type="dxa"/>
              <w:left w:w="144" w:type="dxa"/>
              <w:bottom w:w="0" w:type="dxa"/>
              <w:right w:w="0" w:type="dxa"/>
            </w:tcMar>
            <w:vAlign w:val="center"/>
            <w:hideMark/>
          </w:tcPr>
          <w:p w14:paraId="3666A04A" w14:textId="77777777" w:rsidR="00D246A9" w:rsidRDefault="00D246A9">
            <w:pPr>
              <w:jc w:val="center"/>
              <w:rPr>
                <w:rFonts w:ascii="Arial" w:hAnsi="Arial" w:cs="Arial"/>
                <w:sz w:val="18"/>
                <w:szCs w:val="18"/>
              </w:rPr>
            </w:pPr>
            <w:r>
              <w:rPr>
                <w:rFonts w:ascii="Arial" w:hAnsi="Arial" w:cs="Arial"/>
                <w:sz w:val="18"/>
                <w:szCs w:val="18"/>
              </w:rPr>
              <w:t>Chair</w:t>
            </w:r>
          </w:p>
        </w:tc>
        <w:tc>
          <w:tcPr>
            <w:tcW w:w="2124" w:type="dxa"/>
            <w:tcBorders>
              <w:bottom w:val="single" w:sz="6" w:space="0" w:color="0075C9"/>
            </w:tcBorders>
            <w:noWrap/>
            <w:tcMar>
              <w:top w:w="0" w:type="dxa"/>
              <w:left w:w="144" w:type="dxa"/>
              <w:bottom w:w="0" w:type="dxa"/>
              <w:right w:w="0" w:type="dxa"/>
            </w:tcMar>
            <w:vAlign w:val="center"/>
            <w:hideMark/>
          </w:tcPr>
          <w:p w14:paraId="1A20100D" w14:textId="12CE00F2" w:rsidR="00D246A9" w:rsidRPr="0059700E" w:rsidRDefault="0059700E" w:rsidP="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c>
          <w:tcPr>
            <w:tcW w:w="1920" w:type="dxa"/>
            <w:tcBorders>
              <w:bottom w:val="single" w:sz="6" w:space="0" w:color="0075C9"/>
            </w:tcBorders>
            <w:noWrap/>
            <w:tcMar>
              <w:top w:w="0" w:type="dxa"/>
              <w:left w:w="144" w:type="dxa"/>
              <w:bottom w:w="0" w:type="dxa"/>
              <w:right w:w="0" w:type="dxa"/>
            </w:tcMar>
            <w:vAlign w:val="center"/>
            <w:hideMark/>
          </w:tcPr>
          <w:p w14:paraId="5B147C0B" w14:textId="6705AE85" w:rsidR="00D246A9" w:rsidRPr="0059700E" w:rsidRDefault="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r>
      <w:tr w:rsidR="00D246A9" w14:paraId="39198F12" w14:textId="77777777" w:rsidTr="0059700E">
        <w:trPr>
          <w:cantSplit/>
        </w:trPr>
        <w:tc>
          <w:tcPr>
            <w:tcW w:w="2916" w:type="dxa"/>
            <w:tcBorders>
              <w:bottom w:val="single" w:sz="6" w:space="0" w:color="0075C9"/>
            </w:tcBorders>
            <w:tcMar>
              <w:top w:w="0" w:type="dxa"/>
              <w:left w:w="0" w:type="dxa"/>
              <w:bottom w:w="40" w:type="dxa"/>
              <w:right w:w="0" w:type="dxa"/>
            </w:tcMar>
            <w:vAlign w:val="center"/>
            <w:hideMark/>
          </w:tcPr>
          <w:p w14:paraId="2DF976EF"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Charles W. Scharf</w:t>
            </w:r>
          </w:p>
        </w:tc>
        <w:tc>
          <w:tcPr>
            <w:tcW w:w="1920" w:type="dxa"/>
            <w:tcBorders>
              <w:bottom w:val="single" w:sz="6" w:space="0" w:color="0075C9"/>
            </w:tcBorders>
            <w:noWrap/>
            <w:tcMar>
              <w:top w:w="0" w:type="dxa"/>
              <w:left w:w="144" w:type="dxa"/>
              <w:bottom w:w="0" w:type="dxa"/>
              <w:right w:w="0" w:type="dxa"/>
            </w:tcMar>
            <w:vAlign w:val="center"/>
            <w:hideMark/>
          </w:tcPr>
          <w:p w14:paraId="56547807" w14:textId="0A3D5C7E" w:rsidR="00D246A9" w:rsidRDefault="0059700E">
            <w:pPr>
              <w:rPr>
                <w:rFonts w:ascii="Arial" w:hAnsi="Arial" w:cs="Arial"/>
                <w:sz w:val="18"/>
                <w:szCs w:val="18"/>
              </w:rPr>
            </w:pPr>
            <w:r w:rsidRPr="0059700E">
              <w:rPr>
                <w:rFonts w:ascii="Arial" w:hAnsi="Arial" w:cs="Arial"/>
                <w:color w:val="FFFFFF" w:themeColor="background1"/>
                <w:sz w:val="18"/>
                <w:szCs w:val="18"/>
              </w:rPr>
              <w:t>NA</w:t>
            </w:r>
          </w:p>
        </w:tc>
        <w:tc>
          <w:tcPr>
            <w:tcW w:w="1920" w:type="dxa"/>
            <w:tcBorders>
              <w:bottom w:val="single" w:sz="6" w:space="0" w:color="0075C9"/>
            </w:tcBorders>
            <w:noWrap/>
            <w:tcMar>
              <w:top w:w="0" w:type="dxa"/>
              <w:left w:w="144" w:type="dxa"/>
              <w:bottom w:w="0" w:type="dxa"/>
              <w:right w:w="0" w:type="dxa"/>
            </w:tcMar>
            <w:vAlign w:val="center"/>
            <w:hideMark/>
          </w:tcPr>
          <w:p w14:paraId="018D9025" w14:textId="77777777" w:rsidR="00D246A9" w:rsidRDefault="00D246A9">
            <w:pPr>
              <w:jc w:val="center"/>
              <w:rPr>
                <w:rFonts w:ascii="Arial" w:hAnsi="Arial" w:cs="Arial"/>
                <w:sz w:val="18"/>
                <w:szCs w:val="18"/>
              </w:rPr>
            </w:pPr>
            <w:r>
              <w:rPr>
                <w:rFonts w:ascii="Arial" w:hAnsi="Arial" w:cs="Arial"/>
                <w:sz w:val="18"/>
                <w:szCs w:val="18"/>
              </w:rPr>
              <w:t>Member</w:t>
            </w:r>
          </w:p>
        </w:tc>
        <w:tc>
          <w:tcPr>
            <w:tcW w:w="2124" w:type="dxa"/>
            <w:tcBorders>
              <w:bottom w:val="single" w:sz="6" w:space="0" w:color="0075C9"/>
            </w:tcBorders>
            <w:noWrap/>
            <w:tcMar>
              <w:top w:w="0" w:type="dxa"/>
              <w:left w:w="144" w:type="dxa"/>
              <w:bottom w:w="0" w:type="dxa"/>
              <w:right w:w="0" w:type="dxa"/>
            </w:tcMar>
            <w:vAlign w:val="center"/>
            <w:hideMark/>
          </w:tcPr>
          <w:p w14:paraId="2EDF88A0" w14:textId="04070C73" w:rsidR="00D246A9" w:rsidRPr="0059700E" w:rsidRDefault="0059700E" w:rsidP="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c>
          <w:tcPr>
            <w:tcW w:w="1920" w:type="dxa"/>
            <w:tcBorders>
              <w:bottom w:val="single" w:sz="6" w:space="0" w:color="0075C9"/>
            </w:tcBorders>
            <w:noWrap/>
            <w:tcMar>
              <w:top w:w="0" w:type="dxa"/>
              <w:left w:w="144" w:type="dxa"/>
              <w:bottom w:w="0" w:type="dxa"/>
              <w:right w:w="0" w:type="dxa"/>
            </w:tcMar>
            <w:vAlign w:val="center"/>
            <w:hideMark/>
          </w:tcPr>
          <w:p w14:paraId="508929E8" w14:textId="77777777" w:rsidR="00D246A9" w:rsidRDefault="00D246A9">
            <w:pPr>
              <w:jc w:val="center"/>
              <w:rPr>
                <w:rFonts w:ascii="Arial" w:hAnsi="Arial" w:cs="Arial"/>
                <w:sz w:val="18"/>
                <w:szCs w:val="18"/>
              </w:rPr>
            </w:pPr>
            <w:r>
              <w:rPr>
                <w:rFonts w:ascii="Arial" w:hAnsi="Arial" w:cs="Arial"/>
                <w:sz w:val="18"/>
                <w:szCs w:val="18"/>
              </w:rPr>
              <w:t>Member</w:t>
            </w:r>
            <w:r>
              <w:rPr>
                <w:rFonts w:ascii="Arial" w:hAnsi="Arial" w:cs="Arial"/>
                <w:sz w:val="18"/>
                <w:szCs w:val="18"/>
              </w:rPr>
              <w:t> </w:t>
            </w:r>
            <w:r>
              <w:rPr>
                <w:rFonts w:ascii="Arial" w:hAnsi="Arial" w:cs="Arial"/>
                <w:sz w:val="18"/>
                <w:szCs w:val="18"/>
              </w:rPr>
              <w:t> </w:t>
            </w:r>
          </w:p>
        </w:tc>
      </w:tr>
      <w:tr w:rsidR="00D246A9" w14:paraId="41C38B7D" w14:textId="77777777" w:rsidTr="0059700E">
        <w:trPr>
          <w:cantSplit/>
        </w:trPr>
        <w:tc>
          <w:tcPr>
            <w:tcW w:w="2916" w:type="dxa"/>
            <w:tcBorders>
              <w:bottom w:val="single" w:sz="6" w:space="0" w:color="0075C9"/>
            </w:tcBorders>
            <w:tcMar>
              <w:top w:w="0" w:type="dxa"/>
              <w:left w:w="0" w:type="dxa"/>
              <w:bottom w:w="40" w:type="dxa"/>
              <w:right w:w="0" w:type="dxa"/>
            </w:tcMar>
            <w:vAlign w:val="center"/>
            <w:hideMark/>
          </w:tcPr>
          <w:p w14:paraId="1F138727"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Stanton</w:t>
            </w:r>
          </w:p>
        </w:tc>
        <w:tc>
          <w:tcPr>
            <w:tcW w:w="1920" w:type="dxa"/>
            <w:tcBorders>
              <w:bottom w:val="single" w:sz="6" w:space="0" w:color="0075C9"/>
            </w:tcBorders>
            <w:noWrap/>
            <w:tcMar>
              <w:top w:w="0" w:type="dxa"/>
              <w:left w:w="144" w:type="dxa"/>
              <w:bottom w:w="0" w:type="dxa"/>
              <w:right w:w="0" w:type="dxa"/>
            </w:tcMar>
            <w:vAlign w:val="center"/>
            <w:hideMark/>
          </w:tcPr>
          <w:p w14:paraId="4B34B657" w14:textId="77777777" w:rsidR="00D246A9" w:rsidRDefault="00D246A9">
            <w:pPr>
              <w:jc w:val="center"/>
              <w:rPr>
                <w:rFonts w:ascii="Arial" w:hAnsi="Arial" w:cs="Arial"/>
                <w:sz w:val="18"/>
                <w:szCs w:val="18"/>
              </w:rPr>
            </w:pPr>
            <w:r>
              <w:rPr>
                <w:rFonts w:ascii="Arial" w:hAnsi="Arial" w:cs="Arial"/>
                <w:sz w:val="18"/>
                <w:szCs w:val="18"/>
              </w:rPr>
              <w:t>Member</w:t>
            </w:r>
          </w:p>
        </w:tc>
        <w:tc>
          <w:tcPr>
            <w:tcW w:w="1920" w:type="dxa"/>
            <w:tcBorders>
              <w:bottom w:val="single" w:sz="6" w:space="0" w:color="0075C9"/>
            </w:tcBorders>
            <w:noWrap/>
            <w:tcMar>
              <w:top w:w="0" w:type="dxa"/>
              <w:left w:w="144" w:type="dxa"/>
              <w:bottom w:w="0" w:type="dxa"/>
              <w:right w:w="0" w:type="dxa"/>
            </w:tcMar>
            <w:vAlign w:val="center"/>
            <w:hideMark/>
          </w:tcPr>
          <w:p w14:paraId="4043F2E9" w14:textId="1D7544A9" w:rsidR="00D246A9" w:rsidRPr="0059700E" w:rsidRDefault="0059700E" w:rsidP="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c>
          <w:tcPr>
            <w:tcW w:w="2124" w:type="dxa"/>
            <w:tcBorders>
              <w:bottom w:val="single" w:sz="6" w:space="0" w:color="0075C9"/>
            </w:tcBorders>
            <w:noWrap/>
            <w:tcMar>
              <w:top w:w="0" w:type="dxa"/>
              <w:left w:w="144" w:type="dxa"/>
              <w:bottom w:w="0" w:type="dxa"/>
              <w:right w:w="0" w:type="dxa"/>
            </w:tcMar>
            <w:vAlign w:val="center"/>
            <w:hideMark/>
          </w:tcPr>
          <w:p w14:paraId="09CA9D2E" w14:textId="77777777" w:rsidR="00D246A9" w:rsidRDefault="00D246A9">
            <w:pPr>
              <w:jc w:val="center"/>
              <w:rPr>
                <w:rFonts w:ascii="Arial" w:hAnsi="Arial" w:cs="Arial"/>
                <w:sz w:val="18"/>
                <w:szCs w:val="18"/>
              </w:rPr>
            </w:pPr>
            <w:r>
              <w:rPr>
                <w:rFonts w:ascii="Arial" w:hAnsi="Arial" w:cs="Arial"/>
                <w:sz w:val="18"/>
                <w:szCs w:val="18"/>
              </w:rPr>
              <w:t>Member</w:t>
            </w:r>
          </w:p>
        </w:tc>
        <w:tc>
          <w:tcPr>
            <w:tcW w:w="1920" w:type="dxa"/>
            <w:tcBorders>
              <w:bottom w:val="single" w:sz="6" w:space="0" w:color="0075C9"/>
            </w:tcBorders>
            <w:noWrap/>
            <w:tcMar>
              <w:top w:w="0" w:type="dxa"/>
              <w:left w:w="144" w:type="dxa"/>
              <w:bottom w:w="0" w:type="dxa"/>
              <w:right w:w="0" w:type="dxa"/>
            </w:tcMar>
            <w:vAlign w:val="center"/>
            <w:hideMark/>
          </w:tcPr>
          <w:p w14:paraId="3CFC9A98" w14:textId="77777777" w:rsidR="00D246A9" w:rsidRDefault="00D246A9">
            <w:pPr>
              <w:jc w:val="center"/>
              <w:rPr>
                <w:rFonts w:ascii="Arial" w:hAnsi="Arial" w:cs="Arial"/>
                <w:sz w:val="18"/>
                <w:szCs w:val="18"/>
              </w:rPr>
            </w:pPr>
          </w:p>
        </w:tc>
      </w:tr>
      <w:tr w:rsidR="00D246A9" w14:paraId="472BCA4E" w14:textId="77777777" w:rsidTr="0059700E">
        <w:trPr>
          <w:cantSplit/>
        </w:trPr>
        <w:tc>
          <w:tcPr>
            <w:tcW w:w="2916" w:type="dxa"/>
            <w:tcBorders>
              <w:bottom w:val="single" w:sz="6" w:space="0" w:color="0075C9"/>
            </w:tcBorders>
            <w:tcMar>
              <w:top w:w="0" w:type="dxa"/>
              <w:left w:w="0" w:type="dxa"/>
              <w:bottom w:w="40" w:type="dxa"/>
              <w:right w:w="0" w:type="dxa"/>
            </w:tcMar>
            <w:vAlign w:val="center"/>
            <w:hideMark/>
          </w:tcPr>
          <w:p w14:paraId="6AADA567"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i/>
                <w:iCs/>
                <w:color w:val="0075C9"/>
                <w:sz w:val="18"/>
                <w:szCs w:val="18"/>
              </w:rPr>
              <w:t>John W. Thompson*</w:t>
            </w:r>
          </w:p>
        </w:tc>
        <w:tc>
          <w:tcPr>
            <w:tcW w:w="1920" w:type="dxa"/>
            <w:tcBorders>
              <w:bottom w:val="single" w:sz="6" w:space="0" w:color="0075C9"/>
            </w:tcBorders>
            <w:noWrap/>
            <w:tcMar>
              <w:top w:w="0" w:type="dxa"/>
              <w:left w:w="144" w:type="dxa"/>
              <w:bottom w:w="0" w:type="dxa"/>
              <w:right w:w="0" w:type="dxa"/>
            </w:tcMar>
            <w:vAlign w:val="center"/>
            <w:hideMark/>
          </w:tcPr>
          <w:p w14:paraId="22AF3F48" w14:textId="11C63989" w:rsidR="00D246A9" w:rsidRPr="0059700E" w:rsidRDefault="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c>
          <w:tcPr>
            <w:tcW w:w="1920" w:type="dxa"/>
            <w:tcBorders>
              <w:bottom w:val="single" w:sz="6" w:space="0" w:color="0075C9"/>
            </w:tcBorders>
            <w:noWrap/>
            <w:tcMar>
              <w:top w:w="0" w:type="dxa"/>
              <w:left w:w="144" w:type="dxa"/>
              <w:bottom w:w="0" w:type="dxa"/>
              <w:right w:w="0" w:type="dxa"/>
            </w:tcMar>
            <w:vAlign w:val="center"/>
            <w:hideMark/>
          </w:tcPr>
          <w:p w14:paraId="381B5EFC" w14:textId="36D7D9AB" w:rsidR="00D246A9" w:rsidRPr="0059700E" w:rsidRDefault="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c>
          <w:tcPr>
            <w:tcW w:w="2124" w:type="dxa"/>
            <w:tcBorders>
              <w:bottom w:val="single" w:sz="6" w:space="0" w:color="0075C9"/>
            </w:tcBorders>
            <w:noWrap/>
            <w:tcMar>
              <w:top w:w="0" w:type="dxa"/>
              <w:left w:w="144" w:type="dxa"/>
              <w:bottom w:w="0" w:type="dxa"/>
              <w:right w:w="0" w:type="dxa"/>
            </w:tcMar>
            <w:vAlign w:val="center"/>
            <w:hideMark/>
          </w:tcPr>
          <w:p w14:paraId="0D17BB5F" w14:textId="77777777" w:rsidR="00D246A9" w:rsidRDefault="00D246A9">
            <w:pPr>
              <w:jc w:val="center"/>
              <w:rPr>
                <w:rFonts w:ascii="Arial" w:hAnsi="Arial" w:cs="Arial"/>
                <w:sz w:val="18"/>
                <w:szCs w:val="18"/>
              </w:rPr>
            </w:pPr>
            <w:r>
              <w:rPr>
                <w:rFonts w:ascii="Arial" w:hAnsi="Arial" w:cs="Arial"/>
                <w:sz w:val="18"/>
                <w:szCs w:val="18"/>
              </w:rPr>
              <w:t>Member</w:t>
            </w:r>
          </w:p>
        </w:tc>
        <w:tc>
          <w:tcPr>
            <w:tcW w:w="1920" w:type="dxa"/>
            <w:tcBorders>
              <w:bottom w:val="single" w:sz="6" w:space="0" w:color="0075C9"/>
            </w:tcBorders>
            <w:noWrap/>
            <w:tcMar>
              <w:top w:w="0" w:type="dxa"/>
              <w:left w:w="144" w:type="dxa"/>
              <w:bottom w:w="0" w:type="dxa"/>
              <w:right w:w="0" w:type="dxa"/>
            </w:tcMar>
            <w:vAlign w:val="center"/>
            <w:hideMark/>
          </w:tcPr>
          <w:p w14:paraId="627BEC79" w14:textId="74BAF9ED" w:rsidR="00D246A9" w:rsidRDefault="00D246A9">
            <w:pPr>
              <w:jc w:val="center"/>
              <w:rPr>
                <w:rFonts w:ascii="Arial" w:hAnsi="Arial" w:cs="Arial"/>
                <w:sz w:val="18"/>
                <w:szCs w:val="18"/>
              </w:rPr>
            </w:pPr>
            <w:r>
              <w:rPr>
                <w:rFonts w:ascii="Arial" w:hAnsi="Arial" w:cs="Arial"/>
                <w:sz w:val="18"/>
                <w:szCs w:val="18"/>
              </w:rPr>
              <w:t>Member</w:t>
            </w:r>
            <w:r>
              <w:rPr>
                <w:rFonts w:ascii="Arial" w:hAnsi="Arial" w:cs="Arial"/>
                <w:sz w:val="18"/>
                <w:szCs w:val="18"/>
              </w:rPr>
              <w:t> </w:t>
            </w:r>
            <w:r>
              <w:rPr>
                <w:rFonts w:ascii="Arial" w:hAnsi="Arial" w:cs="Arial"/>
                <w:sz w:val="18"/>
                <w:szCs w:val="18"/>
              </w:rPr>
              <w:t> </w:t>
            </w:r>
          </w:p>
        </w:tc>
      </w:tr>
      <w:tr w:rsidR="00D246A9" w14:paraId="1D19D987" w14:textId="77777777" w:rsidTr="0059700E">
        <w:trPr>
          <w:cantSplit/>
        </w:trPr>
        <w:tc>
          <w:tcPr>
            <w:tcW w:w="2916" w:type="dxa"/>
            <w:tcBorders>
              <w:bottom w:val="single" w:sz="6" w:space="0" w:color="0075C9"/>
            </w:tcBorders>
            <w:tcMar>
              <w:top w:w="0" w:type="dxa"/>
              <w:left w:w="0" w:type="dxa"/>
              <w:bottom w:w="40" w:type="dxa"/>
              <w:right w:w="0" w:type="dxa"/>
            </w:tcMar>
            <w:vAlign w:val="center"/>
            <w:hideMark/>
          </w:tcPr>
          <w:p w14:paraId="4B97FB4C"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Emma N. Walmsley</w:t>
            </w:r>
          </w:p>
        </w:tc>
        <w:tc>
          <w:tcPr>
            <w:tcW w:w="1920" w:type="dxa"/>
            <w:tcBorders>
              <w:bottom w:val="single" w:sz="6" w:space="0" w:color="0075C9"/>
            </w:tcBorders>
            <w:noWrap/>
            <w:tcMar>
              <w:top w:w="0" w:type="dxa"/>
              <w:left w:w="144" w:type="dxa"/>
              <w:bottom w:w="0" w:type="dxa"/>
              <w:right w:w="0" w:type="dxa"/>
            </w:tcMar>
            <w:vAlign w:val="center"/>
            <w:hideMark/>
          </w:tcPr>
          <w:p w14:paraId="20907FEF" w14:textId="7C99EA06" w:rsidR="00D246A9" w:rsidRPr="0059700E" w:rsidRDefault="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c>
          <w:tcPr>
            <w:tcW w:w="1920" w:type="dxa"/>
            <w:tcBorders>
              <w:bottom w:val="single" w:sz="6" w:space="0" w:color="0075C9"/>
            </w:tcBorders>
            <w:noWrap/>
            <w:tcMar>
              <w:top w:w="0" w:type="dxa"/>
              <w:left w:w="144" w:type="dxa"/>
              <w:bottom w:w="0" w:type="dxa"/>
              <w:right w:w="0" w:type="dxa"/>
            </w:tcMar>
            <w:vAlign w:val="center"/>
            <w:hideMark/>
          </w:tcPr>
          <w:p w14:paraId="6288A7D3" w14:textId="77777777" w:rsidR="00D246A9" w:rsidRDefault="00D246A9">
            <w:pPr>
              <w:jc w:val="center"/>
              <w:rPr>
                <w:rFonts w:ascii="Arial" w:hAnsi="Arial" w:cs="Arial"/>
                <w:sz w:val="18"/>
                <w:szCs w:val="18"/>
              </w:rPr>
            </w:pPr>
            <w:r>
              <w:rPr>
                <w:rFonts w:ascii="Arial" w:hAnsi="Arial" w:cs="Arial"/>
                <w:sz w:val="18"/>
                <w:szCs w:val="18"/>
              </w:rPr>
              <w:t>Member</w:t>
            </w:r>
          </w:p>
        </w:tc>
        <w:tc>
          <w:tcPr>
            <w:tcW w:w="2124" w:type="dxa"/>
            <w:tcBorders>
              <w:bottom w:val="single" w:sz="6" w:space="0" w:color="0075C9"/>
            </w:tcBorders>
            <w:noWrap/>
            <w:tcMar>
              <w:top w:w="0" w:type="dxa"/>
              <w:left w:w="144" w:type="dxa"/>
              <w:bottom w:w="0" w:type="dxa"/>
              <w:right w:w="0" w:type="dxa"/>
            </w:tcMar>
            <w:vAlign w:val="center"/>
            <w:hideMark/>
          </w:tcPr>
          <w:p w14:paraId="2F9B25BE" w14:textId="77777777" w:rsidR="00D246A9" w:rsidRDefault="00D246A9">
            <w:pPr>
              <w:jc w:val="center"/>
              <w:rPr>
                <w:rFonts w:ascii="Arial" w:hAnsi="Arial" w:cs="Arial"/>
                <w:sz w:val="18"/>
                <w:szCs w:val="18"/>
              </w:rPr>
            </w:pPr>
            <w:r>
              <w:rPr>
                <w:rFonts w:ascii="Arial" w:hAnsi="Arial" w:cs="Arial"/>
                <w:sz w:val="18"/>
                <w:szCs w:val="18"/>
              </w:rPr>
              <w:t>Member</w:t>
            </w:r>
          </w:p>
        </w:tc>
        <w:tc>
          <w:tcPr>
            <w:tcW w:w="1920" w:type="dxa"/>
            <w:tcBorders>
              <w:bottom w:val="single" w:sz="6" w:space="0" w:color="0075C9"/>
            </w:tcBorders>
            <w:noWrap/>
            <w:tcMar>
              <w:top w:w="0" w:type="dxa"/>
              <w:left w:w="144" w:type="dxa"/>
              <w:bottom w:w="0" w:type="dxa"/>
              <w:right w:w="0" w:type="dxa"/>
            </w:tcMar>
            <w:vAlign w:val="center"/>
            <w:hideMark/>
          </w:tcPr>
          <w:p w14:paraId="6E03A690" w14:textId="18444260" w:rsidR="00D246A9" w:rsidRPr="0059700E" w:rsidRDefault="0059700E" w:rsidP="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r>
      <w:tr w:rsidR="00D246A9" w14:paraId="32AF9E9B" w14:textId="77777777" w:rsidTr="0059700E">
        <w:trPr>
          <w:cantSplit/>
        </w:trPr>
        <w:tc>
          <w:tcPr>
            <w:tcW w:w="2916" w:type="dxa"/>
            <w:tcBorders>
              <w:bottom w:val="single" w:sz="6" w:space="0" w:color="0075C9"/>
            </w:tcBorders>
            <w:tcMar>
              <w:top w:w="0" w:type="dxa"/>
              <w:left w:w="0" w:type="dxa"/>
              <w:bottom w:w="40" w:type="dxa"/>
              <w:right w:w="0" w:type="dxa"/>
            </w:tcMar>
            <w:vAlign w:val="center"/>
            <w:hideMark/>
          </w:tcPr>
          <w:p w14:paraId="6BB22F9D"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i/>
                <w:iCs/>
                <w:color w:val="0075C9"/>
                <w:sz w:val="18"/>
                <w:szCs w:val="18"/>
              </w:rPr>
              <w:t>Padmasree Warrior*</w:t>
            </w:r>
          </w:p>
        </w:tc>
        <w:tc>
          <w:tcPr>
            <w:tcW w:w="1920" w:type="dxa"/>
            <w:tcBorders>
              <w:bottom w:val="single" w:sz="6" w:space="0" w:color="0075C9"/>
            </w:tcBorders>
            <w:noWrap/>
            <w:tcMar>
              <w:top w:w="0" w:type="dxa"/>
              <w:left w:w="144" w:type="dxa"/>
              <w:bottom w:w="0" w:type="dxa"/>
              <w:right w:w="0" w:type="dxa"/>
            </w:tcMar>
            <w:vAlign w:val="center"/>
            <w:hideMark/>
          </w:tcPr>
          <w:p w14:paraId="2DD98EA0" w14:textId="37B3DD4B" w:rsidR="00D246A9" w:rsidRPr="0059700E" w:rsidRDefault="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c>
          <w:tcPr>
            <w:tcW w:w="1920" w:type="dxa"/>
            <w:tcBorders>
              <w:bottom w:val="single" w:sz="6" w:space="0" w:color="0075C9"/>
            </w:tcBorders>
            <w:noWrap/>
            <w:tcMar>
              <w:top w:w="0" w:type="dxa"/>
              <w:left w:w="144" w:type="dxa"/>
              <w:bottom w:w="0" w:type="dxa"/>
              <w:right w:w="0" w:type="dxa"/>
            </w:tcMar>
            <w:vAlign w:val="center"/>
            <w:hideMark/>
          </w:tcPr>
          <w:p w14:paraId="0E41676B" w14:textId="77777777" w:rsidR="00D246A9" w:rsidRDefault="00D246A9">
            <w:pPr>
              <w:jc w:val="center"/>
              <w:rPr>
                <w:rFonts w:ascii="Arial" w:hAnsi="Arial" w:cs="Arial"/>
                <w:sz w:val="18"/>
                <w:szCs w:val="18"/>
              </w:rPr>
            </w:pPr>
            <w:r>
              <w:rPr>
                <w:rFonts w:ascii="Arial" w:hAnsi="Arial" w:cs="Arial"/>
                <w:sz w:val="18"/>
                <w:szCs w:val="18"/>
              </w:rPr>
              <w:t>Member</w:t>
            </w:r>
          </w:p>
        </w:tc>
        <w:tc>
          <w:tcPr>
            <w:tcW w:w="2124" w:type="dxa"/>
            <w:tcBorders>
              <w:bottom w:val="single" w:sz="6" w:space="0" w:color="0075C9"/>
            </w:tcBorders>
            <w:noWrap/>
            <w:tcMar>
              <w:top w:w="0" w:type="dxa"/>
              <w:left w:w="144" w:type="dxa"/>
              <w:bottom w:w="0" w:type="dxa"/>
              <w:right w:w="0" w:type="dxa"/>
            </w:tcMar>
            <w:vAlign w:val="center"/>
            <w:hideMark/>
          </w:tcPr>
          <w:p w14:paraId="7E293ECC" w14:textId="212B6166" w:rsidR="00D246A9" w:rsidRDefault="0059700E" w:rsidP="0059700E">
            <w:pPr>
              <w:rPr>
                <w:rFonts w:ascii="Arial" w:hAnsi="Arial" w:cs="Arial"/>
                <w:sz w:val="18"/>
                <w:szCs w:val="18"/>
              </w:rPr>
            </w:pPr>
            <w:r w:rsidRPr="0059700E">
              <w:rPr>
                <w:rFonts w:ascii="Arial" w:hAnsi="Arial" w:cs="Arial"/>
                <w:color w:val="FFFFFF" w:themeColor="background1"/>
                <w:sz w:val="18"/>
                <w:szCs w:val="18"/>
              </w:rPr>
              <w:t>NA</w:t>
            </w:r>
          </w:p>
        </w:tc>
        <w:tc>
          <w:tcPr>
            <w:tcW w:w="1920" w:type="dxa"/>
            <w:tcBorders>
              <w:bottom w:val="single" w:sz="6" w:space="0" w:color="0075C9"/>
            </w:tcBorders>
            <w:noWrap/>
            <w:tcMar>
              <w:top w:w="0" w:type="dxa"/>
              <w:left w:w="144" w:type="dxa"/>
              <w:bottom w:w="0" w:type="dxa"/>
              <w:right w:w="0" w:type="dxa"/>
            </w:tcMar>
            <w:vAlign w:val="center"/>
            <w:hideMark/>
          </w:tcPr>
          <w:p w14:paraId="0F5B0A87" w14:textId="6F1203DE" w:rsidR="00D246A9" w:rsidRPr="0059700E" w:rsidRDefault="0059700E">
            <w:pPr>
              <w:rPr>
                <w:rFonts w:ascii="Arial" w:hAnsi="Arial" w:cs="Arial"/>
                <w:color w:val="FFFFFF" w:themeColor="background1"/>
                <w:sz w:val="18"/>
                <w:szCs w:val="18"/>
              </w:rPr>
            </w:pPr>
            <w:r w:rsidRPr="0059700E">
              <w:rPr>
                <w:rFonts w:ascii="Arial" w:hAnsi="Arial" w:cs="Arial"/>
                <w:color w:val="FFFFFF" w:themeColor="background1"/>
                <w:sz w:val="18"/>
                <w:szCs w:val="18"/>
              </w:rPr>
              <w:t>NA</w:t>
            </w:r>
          </w:p>
        </w:tc>
      </w:tr>
    </w:tbl>
    <w:p w14:paraId="166477AE" w14:textId="0B90BFD8" w:rsidR="00D246A9" w:rsidRPr="00306F7C" w:rsidRDefault="00D246A9" w:rsidP="00647B28">
      <w:pPr>
        <w:pStyle w:val="NormalWeb"/>
        <w:spacing w:before="40" w:beforeAutospacing="0" w:after="0" w:afterAutospacing="0"/>
        <w:ind w:left="244" w:hanging="122"/>
        <w:rPr>
          <w:rFonts w:ascii="Arial" w:hAnsi="Arial" w:cs="Arial"/>
          <w:sz w:val="16"/>
          <w:szCs w:val="16"/>
        </w:rPr>
      </w:pPr>
      <w:r>
        <w:rPr>
          <w:rFonts w:ascii="Arial" w:hAnsi="Arial" w:cs="Arial"/>
          <w:sz w:val="16"/>
          <w:szCs w:val="16"/>
        </w:rPr>
        <w:t>*</w:t>
      </w:r>
      <w:r>
        <w:rPr>
          <w:rFonts w:ascii="Arial" w:hAnsi="Arial" w:cs="Arial"/>
          <w:sz w:val="16"/>
          <w:szCs w:val="16"/>
        </w:rPr>
        <w:tab/>
        <w:t xml:space="preserve">Mr. Thompson and Ms. Warrior will not seek re-election at the 2023 Annual Meeting. The Board will consider committee appointments for Ms. MacGregor and Mr. Mason if they are elected to the Board. </w:t>
      </w:r>
    </w:p>
    <w:p w14:paraId="274FF9BF" w14:textId="77777777" w:rsidR="00D246A9" w:rsidRDefault="00D246A9" w:rsidP="00647B28">
      <w:pPr>
        <w:pStyle w:val="NormalWeb"/>
        <w:spacing w:before="120" w:beforeAutospacing="0" w:after="0" w:afterAutospacing="0"/>
        <w:rPr>
          <w:sz w:val="2"/>
          <w:szCs w:val="2"/>
        </w:rPr>
      </w:pPr>
      <w:r>
        <w:rPr>
          <w:sz w:val="2"/>
          <w:szCs w:val="2"/>
        </w:rPr>
        <w:t> </w:t>
      </w:r>
    </w:p>
    <w:p w14:paraId="422CDC51" w14:textId="5F22E6EE" w:rsidR="00D246A9" w:rsidRDefault="00D246A9" w:rsidP="00647B28">
      <w:pPr>
        <w:pStyle w:val="NormalWeb"/>
        <w:spacing w:before="0" w:beforeAutospacing="0" w:after="0" w:afterAutospacing="0"/>
        <w:rPr>
          <w:rFonts w:ascii="Arial" w:hAnsi="Arial" w:cs="Arial"/>
          <w:sz w:val="28"/>
          <w:szCs w:val="28"/>
        </w:rPr>
      </w:pPr>
      <w:r>
        <w:rPr>
          <w:rFonts w:ascii="Arial" w:hAnsi="Arial" w:cs="Arial"/>
          <w:b/>
          <w:bCs/>
          <w:color w:val="0075C9"/>
          <w:sz w:val="28"/>
          <w:szCs w:val="28"/>
        </w:rPr>
        <w:t xml:space="preserve">Executive Compensation Advisory Vote </w:t>
      </w:r>
    </w:p>
    <w:p w14:paraId="4E0CF7A7" w14:textId="77777777" w:rsidR="00D246A9" w:rsidRDefault="00D246A9" w:rsidP="00647B28">
      <w:pPr>
        <w:pStyle w:val="NormalWeb"/>
        <w:spacing w:before="60" w:beforeAutospacing="0" w:after="0" w:afterAutospacing="0"/>
        <w:rPr>
          <w:rFonts w:ascii="Arial" w:hAnsi="Arial" w:cs="Arial"/>
          <w:sz w:val="18"/>
          <w:szCs w:val="18"/>
        </w:rPr>
      </w:pPr>
      <w:r>
        <w:rPr>
          <w:rFonts w:ascii="Arial" w:hAnsi="Arial" w:cs="Arial"/>
          <w:sz w:val="18"/>
          <w:szCs w:val="18"/>
        </w:rPr>
        <w:t xml:space="preserve">Our Board recommends that shareholders vote to approve, on an advisory basis, the compensation paid to the Company’s named executive officers (“Named Executives”) as described in this Proxy Statement (“say-on-pay vote”), for the reasons below. </w:t>
      </w:r>
    </w:p>
    <w:p w14:paraId="62858E8B" w14:textId="77777777" w:rsidR="00D246A9" w:rsidRDefault="00D246A9" w:rsidP="00647B28">
      <w:pPr>
        <w:pStyle w:val="NormalWeb"/>
        <w:spacing w:before="180" w:beforeAutospacing="0" w:after="0" w:afterAutospacing="0"/>
        <w:jc w:val="center"/>
        <w:rPr>
          <w:rFonts w:ascii="Arial" w:hAnsi="Arial" w:cs="Arial"/>
        </w:rPr>
      </w:pPr>
      <w:r>
        <w:rPr>
          <w:rFonts w:ascii="Arial" w:hAnsi="Arial" w:cs="Arial"/>
          <w:b/>
          <w:bCs/>
        </w:rPr>
        <w:t xml:space="preserve">Pay for Performance </w:t>
      </w:r>
    </w:p>
    <w:p w14:paraId="38BA5246" w14:textId="77777777" w:rsidR="00D246A9" w:rsidRDefault="00D246A9" w:rsidP="00647B28">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600" w:firstRow="0" w:lastRow="0" w:firstColumn="0" w:lastColumn="0" w:noHBand="1" w:noVBand="1"/>
      </w:tblPr>
      <w:tblGrid>
        <w:gridCol w:w="5786"/>
        <w:gridCol w:w="5014"/>
      </w:tblGrid>
      <w:tr w:rsidR="00D246A9" w14:paraId="0EBCFD39" w14:textId="77777777" w:rsidTr="00727068">
        <w:trPr>
          <w:cantSplit/>
          <w:jc w:val="center"/>
        </w:trPr>
        <w:tc>
          <w:tcPr>
            <w:tcW w:w="10800" w:type="dxa"/>
            <w:gridSpan w:val="2"/>
            <w:vAlign w:val="bottom"/>
            <w:hideMark/>
          </w:tcPr>
          <w:p w14:paraId="78812D8A" w14:textId="77777777" w:rsidR="00D246A9" w:rsidRDefault="00D246A9">
            <w:pPr>
              <w:rPr>
                <w:rFonts w:ascii="Arial" w:hAnsi="Arial" w:cs="Arial"/>
                <w:sz w:val="20"/>
              </w:rPr>
            </w:pPr>
            <w:r>
              <w:rPr>
                <w:rFonts w:ascii="Arial" w:hAnsi="Arial" w:cs="Arial"/>
                <w:b/>
                <w:bCs/>
                <w:sz w:val="18"/>
                <w:szCs w:val="18"/>
              </w:rPr>
              <w:t>We have executed on our pay for performance philosophy.</w:t>
            </w:r>
          </w:p>
        </w:tc>
      </w:tr>
      <w:tr w:rsidR="00D246A9" w14:paraId="474479DC" w14:textId="77777777" w:rsidTr="00727068">
        <w:trPr>
          <w:cantSplit/>
          <w:jc w:val="center"/>
        </w:trPr>
        <w:tc>
          <w:tcPr>
            <w:tcW w:w="5786" w:type="dxa"/>
            <w:vAlign w:val="bottom"/>
            <w:hideMark/>
          </w:tcPr>
          <w:p w14:paraId="034B3161" w14:textId="77777777" w:rsidR="00D246A9" w:rsidRPr="00306F7C"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6B1F628" w14:textId="77777777" w:rsidR="00D246A9" w:rsidRDefault="00D246A9" w:rsidP="00EA32B2">
            <w:pPr>
              <w:pStyle w:val="NormalWeb"/>
              <w:spacing w:before="0" w:beforeAutospacing="0" w:after="0" w:afterAutospacing="0"/>
              <w:ind w:left="240" w:right="207" w:hanging="240"/>
              <w:rPr>
                <w:rFonts w:ascii="Arial" w:hAnsi="Arial" w:cs="Arial"/>
                <w:sz w:val="18"/>
                <w:szCs w:val="18"/>
              </w:rPr>
            </w:pPr>
            <w:r>
              <w:rPr>
                <w:rFonts w:ascii="Arial" w:hAnsi="Arial" w:cs="Arial"/>
                <w:sz w:val="18"/>
                <w:szCs w:val="18"/>
              </w:rPr>
              <w:t>•</w:t>
            </w:r>
            <w:r>
              <w:rPr>
                <w:rFonts w:ascii="Arial" w:hAnsi="Arial" w:cs="Arial"/>
                <w:sz w:val="18"/>
                <w:szCs w:val="18"/>
              </w:rPr>
              <w:tab/>
              <w:t>Over 95% of the annual target compensation opportunity for the CEO is performance-based and over 50% for our other Named Executives</w:t>
            </w:r>
          </w:p>
          <w:p w14:paraId="243D44E9" w14:textId="77777777" w:rsidR="00D246A9" w:rsidRDefault="00D246A9" w:rsidP="00EA32B2">
            <w:pPr>
              <w:pStyle w:val="NormalWeb"/>
              <w:spacing w:before="0" w:beforeAutospacing="0" w:after="0" w:afterAutospacing="0"/>
              <w:ind w:right="207"/>
              <w:rPr>
                <w:rFonts w:ascii="Arial" w:hAnsi="Arial" w:cs="Arial"/>
                <w:sz w:val="12"/>
                <w:szCs w:val="12"/>
              </w:rPr>
            </w:pPr>
            <w:r>
              <w:rPr>
                <w:rFonts w:ascii="Arial" w:hAnsi="Arial" w:cs="Arial"/>
                <w:sz w:val="12"/>
                <w:szCs w:val="12"/>
              </w:rPr>
              <w:t> </w:t>
            </w:r>
          </w:p>
          <w:p w14:paraId="5D896A19" w14:textId="77777777" w:rsidR="00D246A9" w:rsidRDefault="00D246A9" w:rsidP="00EA32B2">
            <w:pPr>
              <w:pStyle w:val="NormalWeb"/>
              <w:spacing w:before="0" w:beforeAutospacing="0" w:after="0" w:afterAutospacing="0"/>
              <w:ind w:left="240" w:right="207" w:hanging="240"/>
              <w:rPr>
                <w:rFonts w:ascii="Arial" w:hAnsi="Arial" w:cs="Arial"/>
                <w:sz w:val="18"/>
                <w:szCs w:val="18"/>
              </w:rPr>
            </w:pPr>
            <w:r>
              <w:rPr>
                <w:rFonts w:ascii="Arial" w:hAnsi="Arial" w:cs="Arial"/>
                <w:sz w:val="18"/>
                <w:szCs w:val="18"/>
              </w:rPr>
              <w:t>•</w:t>
            </w:r>
            <w:r>
              <w:rPr>
                <w:rFonts w:ascii="Arial" w:hAnsi="Arial" w:cs="Arial"/>
                <w:sz w:val="18"/>
                <w:szCs w:val="18"/>
              </w:rPr>
              <w:tab/>
              <w:t>Cash incentive awards are structured 50% (70% for CEO) based on pre-established goals (balance of growth and profitability goals) and 50% (30% for CEO) based on operational performance as assessed across three performance categories, diversifying the risk associated with any single aspect of performance</w:t>
            </w:r>
          </w:p>
          <w:p w14:paraId="7BB8178C" w14:textId="77777777" w:rsidR="00D246A9" w:rsidRDefault="00D246A9" w:rsidP="00EA32B2">
            <w:pPr>
              <w:pStyle w:val="NormalWeb"/>
              <w:spacing w:before="0" w:beforeAutospacing="0" w:after="0" w:afterAutospacing="0"/>
              <w:ind w:right="207"/>
              <w:rPr>
                <w:rFonts w:ascii="Arial" w:hAnsi="Arial" w:cs="Arial"/>
                <w:sz w:val="12"/>
                <w:szCs w:val="12"/>
              </w:rPr>
            </w:pPr>
            <w:r>
              <w:rPr>
                <w:rFonts w:ascii="Arial" w:hAnsi="Arial" w:cs="Arial"/>
                <w:sz w:val="12"/>
                <w:szCs w:val="12"/>
              </w:rPr>
              <w:t> </w:t>
            </w:r>
          </w:p>
          <w:p w14:paraId="606C4739" w14:textId="77777777" w:rsidR="00D246A9" w:rsidRDefault="00D246A9" w:rsidP="00EA32B2">
            <w:pPr>
              <w:pStyle w:val="NormalWeb"/>
              <w:spacing w:before="0" w:beforeAutospacing="0" w:after="20" w:afterAutospacing="0"/>
              <w:ind w:left="240" w:right="207" w:hanging="240"/>
              <w:rPr>
                <w:rFonts w:ascii="Arial" w:hAnsi="Arial" w:cs="Arial"/>
                <w:sz w:val="18"/>
                <w:szCs w:val="18"/>
              </w:rPr>
            </w:pPr>
            <w:r>
              <w:rPr>
                <w:rFonts w:ascii="Arial" w:hAnsi="Arial" w:cs="Arial"/>
                <w:sz w:val="18"/>
                <w:szCs w:val="18"/>
              </w:rPr>
              <w:t>•</w:t>
            </w:r>
            <w:r>
              <w:rPr>
                <w:rFonts w:ascii="Arial" w:hAnsi="Arial" w:cs="Arial"/>
                <w:sz w:val="18"/>
                <w:szCs w:val="18"/>
              </w:rPr>
              <w:tab/>
              <w:t>The metrics for our performance stock awards are reviewed annually to ensure they reflect key business developments that drive long-term growth</w:t>
            </w:r>
          </w:p>
        </w:tc>
        <w:tc>
          <w:tcPr>
            <w:tcW w:w="5014" w:type="dxa"/>
            <w:hideMark/>
          </w:tcPr>
          <w:p w14:paraId="34F54F2B"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1EAE8F5"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Our performance stock awards (“PSAs”) include a relative total shareholder return (“TSR”) modifier to reward significant positive outperformance and reduce rewards for underperformance to align executives’ and shareholders’ long-term interests</w:t>
            </w:r>
          </w:p>
          <w:p w14:paraId="6BF7CBA7"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C4CBEE8"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At least 70% of target compensation for our Named Executives was equity-based, with average across all Named Executives over 80%, providing incentives to drive long-term business success and direct alignment with returns to shareholders</w:t>
            </w:r>
          </w:p>
        </w:tc>
      </w:tr>
    </w:tbl>
    <w:p w14:paraId="2903D3E0" w14:textId="77777777" w:rsidR="00D246A9" w:rsidRPr="00306F7C" w:rsidRDefault="00D246A9" w:rsidP="00647B28">
      <w:pPr>
        <w:pStyle w:val="NormalWeb"/>
        <w:spacing w:before="180" w:beforeAutospacing="0" w:after="0" w:afterAutospacing="0"/>
        <w:jc w:val="center"/>
        <w:rPr>
          <w:rFonts w:ascii="Arial" w:hAnsi="Arial" w:cs="Arial"/>
        </w:rPr>
      </w:pPr>
      <w:r>
        <w:rPr>
          <w:rFonts w:ascii="Arial" w:hAnsi="Arial" w:cs="Arial"/>
          <w:b/>
          <w:bCs/>
        </w:rPr>
        <w:t xml:space="preserve">Sound Program Design </w:t>
      </w:r>
    </w:p>
    <w:p w14:paraId="12E401E2" w14:textId="77777777" w:rsidR="00D246A9" w:rsidRDefault="00D246A9" w:rsidP="00647B28">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600" w:firstRow="0" w:lastRow="0" w:firstColumn="0" w:lastColumn="0" w:noHBand="1" w:noVBand="1"/>
      </w:tblPr>
      <w:tblGrid>
        <w:gridCol w:w="3948"/>
        <w:gridCol w:w="6852"/>
      </w:tblGrid>
      <w:tr w:rsidR="00D246A9" w14:paraId="4DCCDDF2" w14:textId="77777777" w:rsidTr="00727068">
        <w:trPr>
          <w:cantSplit/>
          <w:jc w:val="center"/>
        </w:trPr>
        <w:tc>
          <w:tcPr>
            <w:tcW w:w="10800" w:type="dxa"/>
            <w:gridSpan w:val="2"/>
            <w:vAlign w:val="bottom"/>
            <w:hideMark/>
          </w:tcPr>
          <w:p w14:paraId="3543E829" w14:textId="77777777" w:rsidR="00D246A9" w:rsidRPr="00306F7C" w:rsidRDefault="00D246A9">
            <w:pPr>
              <w:pStyle w:val="NormalWeb"/>
              <w:keepNext/>
              <w:spacing w:before="0" w:beforeAutospacing="0" w:after="0" w:afterAutospacing="0"/>
              <w:rPr>
                <w:rFonts w:ascii="Arial" w:hAnsi="Arial" w:cs="Arial"/>
                <w:sz w:val="18"/>
                <w:szCs w:val="18"/>
              </w:rPr>
            </w:pPr>
            <w:r>
              <w:rPr>
                <w:rFonts w:ascii="Arial" w:hAnsi="Arial" w:cs="Arial"/>
                <w:sz w:val="18"/>
                <w:szCs w:val="18"/>
              </w:rPr>
              <w:t>We design our executive compensation program to attract, motivate, and retain the key executives who drive our success and industry leadership, while considering individual and Company performance and alignment with the long-term interests of our shareholders. We achieve our objectives through compensation that:</w:t>
            </w:r>
          </w:p>
          <w:p w14:paraId="092E3C52" w14:textId="77777777" w:rsidR="00D246A9" w:rsidRDefault="00D246A9">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D246A9" w14:paraId="2F224576" w14:textId="77777777" w:rsidTr="00727068">
        <w:trPr>
          <w:cantSplit/>
          <w:jc w:val="center"/>
        </w:trPr>
        <w:tc>
          <w:tcPr>
            <w:tcW w:w="3948" w:type="dxa"/>
            <w:hideMark/>
          </w:tcPr>
          <w:p w14:paraId="476B63A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Provides a competitive total pay opportunity</w:t>
            </w:r>
          </w:p>
          <w:p w14:paraId="7DDBF116"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9BCC1E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Delivers a majority of pay based on performance</w:t>
            </w:r>
          </w:p>
          <w:p w14:paraId="59672D0E"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66385B35"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Consists primarily of stock-based compensation</w:t>
            </w:r>
          </w:p>
        </w:tc>
        <w:tc>
          <w:tcPr>
            <w:tcW w:w="6852" w:type="dxa"/>
            <w:hideMark/>
          </w:tcPr>
          <w:p w14:paraId="1B0FFA64" w14:textId="77777777" w:rsidR="00D246A9" w:rsidRDefault="00D246A9" w:rsidP="00EA32B2">
            <w:pPr>
              <w:pStyle w:val="NormalWeb"/>
              <w:spacing w:before="0" w:beforeAutospacing="0" w:after="0" w:afterAutospacing="0"/>
              <w:ind w:left="2167" w:hanging="240"/>
              <w:rPr>
                <w:rFonts w:ascii="Arial" w:hAnsi="Arial" w:cs="Arial"/>
                <w:sz w:val="18"/>
                <w:szCs w:val="18"/>
              </w:rPr>
            </w:pPr>
            <w:r>
              <w:rPr>
                <w:rFonts w:ascii="Arial" w:hAnsi="Arial" w:cs="Arial"/>
                <w:sz w:val="18"/>
                <w:szCs w:val="18"/>
              </w:rPr>
              <w:t>•</w:t>
            </w:r>
            <w:r>
              <w:rPr>
                <w:rFonts w:ascii="Arial" w:hAnsi="Arial" w:cs="Arial"/>
                <w:sz w:val="18"/>
                <w:szCs w:val="18"/>
              </w:rPr>
              <w:tab/>
              <w:t>Enhances long-term focus through multi-year performance requirements or vesting of stock-based compensation</w:t>
            </w:r>
          </w:p>
          <w:p w14:paraId="4F0584A7" w14:textId="77777777" w:rsidR="00D246A9" w:rsidRDefault="00D246A9" w:rsidP="00EA32B2">
            <w:pPr>
              <w:pStyle w:val="NormalWeb"/>
              <w:spacing w:before="0" w:beforeAutospacing="0" w:after="0" w:afterAutospacing="0"/>
              <w:ind w:left="2167"/>
              <w:rPr>
                <w:rFonts w:ascii="Arial" w:hAnsi="Arial" w:cs="Arial"/>
                <w:sz w:val="12"/>
                <w:szCs w:val="12"/>
              </w:rPr>
            </w:pPr>
            <w:r>
              <w:rPr>
                <w:rFonts w:ascii="Arial" w:hAnsi="Arial" w:cs="Arial"/>
                <w:sz w:val="12"/>
                <w:szCs w:val="12"/>
              </w:rPr>
              <w:t> </w:t>
            </w:r>
          </w:p>
          <w:p w14:paraId="21BEC898" w14:textId="77777777" w:rsidR="00D246A9" w:rsidRDefault="00D246A9" w:rsidP="00EA32B2">
            <w:pPr>
              <w:pStyle w:val="NormalWeb"/>
              <w:spacing w:before="0" w:beforeAutospacing="0" w:after="20" w:afterAutospacing="0"/>
              <w:ind w:left="2167" w:hanging="240"/>
              <w:rPr>
                <w:rFonts w:ascii="Arial" w:hAnsi="Arial" w:cs="Arial"/>
                <w:sz w:val="18"/>
                <w:szCs w:val="18"/>
              </w:rPr>
            </w:pPr>
            <w:r>
              <w:rPr>
                <w:rFonts w:ascii="Arial" w:hAnsi="Arial" w:cs="Arial"/>
                <w:sz w:val="18"/>
                <w:szCs w:val="18"/>
              </w:rPr>
              <w:t>•</w:t>
            </w:r>
            <w:r>
              <w:rPr>
                <w:rFonts w:ascii="Arial" w:hAnsi="Arial" w:cs="Arial"/>
                <w:sz w:val="18"/>
                <w:szCs w:val="18"/>
              </w:rPr>
              <w:tab/>
              <w:t>Does not encourage unnecessary and excessive risk taking</w:t>
            </w:r>
          </w:p>
        </w:tc>
      </w:tr>
    </w:tbl>
    <w:p w14:paraId="57FA5729" w14:textId="77777777" w:rsidR="00D246A9" w:rsidRPr="00306F7C" w:rsidRDefault="00D246A9" w:rsidP="00647B28">
      <w:pPr>
        <w:pStyle w:val="NormalWeb"/>
        <w:keepNext/>
        <w:spacing w:before="180" w:beforeAutospacing="0" w:after="0" w:afterAutospacing="0"/>
        <w:rPr>
          <w:rFonts w:ascii="Arial" w:hAnsi="Arial" w:cs="Arial"/>
          <w:sz w:val="18"/>
          <w:szCs w:val="18"/>
        </w:rPr>
      </w:pPr>
      <w:r>
        <w:rPr>
          <w:rFonts w:ascii="Arial" w:hAnsi="Arial" w:cs="Arial"/>
          <w:b/>
          <w:bCs/>
          <w:sz w:val="18"/>
          <w:szCs w:val="18"/>
        </w:rPr>
        <w:t xml:space="preserve">See Part 2 – Named Executive Officer Compensation for more information. </w:t>
      </w:r>
    </w:p>
    <w:p w14:paraId="39EE9B3C" w14:textId="77777777" w:rsidR="00D246A9" w:rsidRDefault="00D246A9">
      <w:pPr>
        <w:pStyle w:val="NormalWeb"/>
        <w:spacing w:before="240" w:beforeAutospacing="0" w:after="0" w:afterAutospacing="0"/>
        <w:rPr>
          <w:sz w:val="2"/>
          <w:szCs w:val="2"/>
        </w:rPr>
      </w:pPr>
      <w:r>
        <w:rPr>
          <w:sz w:val="2"/>
          <w:szCs w:val="2"/>
        </w:rPr>
        <w:t> </w:t>
      </w:r>
    </w:p>
    <w:p w14:paraId="11C61063" w14:textId="2407A2C4" w:rsidR="00D246A9" w:rsidRDefault="00F81E28">
      <w:pPr>
        <w:pStyle w:val="NormalWeb"/>
        <w:pageBreakBefore/>
        <w:spacing w:before="0" w:beforeAutospacing="0" w:after="0" w:afterAutospacing="0"/>
        <w:rPr>
          <w:rFonts w:ascii="Arial" w:hAnsi="Arial" w:cs="Arial"/>
          <w:sz w:val="50"/>
          <w:szCs w:val="50"/>
        </w:rPr>
      </w:pPr>
      <w:r>
        <w:rPr>
          <w:noProof/>
          <w:sz w:val="2"/>
          <w:szCs w:val="2"/>
        </w:rPr>
        <w:lastRenderedPageBreak/>
        <mc:AlternateContent>
          <mc:Choice Requires="wps">
            <w:drawing>
              <wp:anchor distT="0" distB="0" distL="114300" distR="114300" simplePos="0" relativeHeight="251666431" behindDoc="1" locked="0" layoutInCell="1" allowOverlap="1" wp14:anchorId="01FA0E1B" wp14:editId="067A9E66">
                <wp:simplePos x="0" y="0"/>
                <wp:positionH relativeFrom="column">
                  <wp:posOffset>-137472</wp:posOffset>
                </wp:positionH>
                <wp:positionV relativeFrom="paragraph">
                  <wp:posOffset>-79375</wp:posOffset>
                </wp:positionV>
                <wp:extent cx="7092542" cy="8657590"/>
                <wp:effectExtent l="19050" t="19050" r="13335" b="10160"/>
                <wp:wrapNone/>
                <wp:docPr id="393772988" name="Rectangle 393772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542" cy="8657590"/>
                        </a:xfrm>
                        <a:prstGeom prst="rect">
                          <a:avLst/>
                        </a:prstGeom>
                        <a:solidFill>
                          <a:srgbClr val="FFFFFF"/>
                        </a:solidFill>
                        <a:ln w="28575">
                          <a:solidFill>
                            <a:srgbClr val="0075C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30777" id="Rectangle 393772988" o:spid="_x0000_s1026" alt="&quot;&quot;" style="position:absolute;margin-left:-10.8pt;margin-top:-6.25pt;width:558.45pt;height:681.7pt;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" strokecolor="#0075c9" strokeweight="2.25pt"/>
            </w:pict>
          </mc:Fallback>
        </mc:AlternateContent>
      </w:r>
      <w:r w:rsidR="00D246A9">
        <w:rPr>
          <w:rFonts w:ascii="Arial" w:hAnsi="Arial" w:cs="Arial"/>
          <w:b/>
          <w:bCs/>
          <w:sz w:val="50"/>
          <w:szCs w:val="50"/>
        </w:rPr>
        <w:t xml:space="preserve">Business Overview </w:t>
      </w:r>
    </w:p>
    <w:p w14:paraId="766F534B" w14:textId="77777777" w:rsidR="00D246A9" w:rsidRDefault="00D246A9">
      <w:pPr>
        <w:pStyle w:val="NormalWeb"/>
        <w:spacing w:before="480" w:beforeAutospacing="0" w:after="0" w:afterAutospacing="0"/>
        <w:rPr>
          <w:rFonts w:ascii="Arial" w:hAnsi="Arial" w:cs="Arial"/>
          <w:sz w:val="28"/>
          <w:szCs w:val="28"/>
        </w:rPr>
      </w:pPr>
      <w:r>
        <w:rPr>
          <w:rFonts w:ascii="Arial" w:hAnsi="Arial" w:cs="Arial"/>
          <w:b/>
          <w:bCs/>
          <w:color w:val="0075C9"/>
          <w:sz w:val="28"/>
          <w:szCs w:val="28"/>
        </w:rPr>
        <w:t xml:space="preserve">Our Business Performance </w:t>
      </w:r>
    </w:p>
    <w:p w14:paraId="27DB6054" w14:textId="63B73F8D"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In fiscal year 2023, we continued to achieve strong business results, focusing on enabling the success and earning the trust of our customers. We are creating the platforms and tools</w:t>
      </w:r>
      <w:r>
        <w:rPr>
          <w:rFonts w:ascii="Arial" w:hAnsi="Arial" w:cs="Arial"/>
          <w:sz w:val="18"/>
          <w:szCs w:val="18"/>
          <w:u w:val="single"/>
        </w:rPr>
        <w:t>,</w:t>
      </w:r>
      <w:r>
        <w:rPr>
          <w:rFonts w:ascii="Arial" w:hAnsi="Arial" w:cs="Arial"/>
          <w:sz w:val="18"/>
          <w:szCs w:val="18"/>
        </w:rPr>
        <w:t xml:space="preserve"> powered by artificial intelligence (“AI”), that deliver better, faster, and more effective solutions to support small and large business competitiveness, improve educational and health outcomes, grow public-sector efficiency, and empower human ingenuity. </w:t>
      </w:r>
      <w:proofErr w:type="gramStart"/>
      <w:r>
        <w:rPr>
          <w:rFonts w:ascii="Arial" w:hAnsi="Arial" w:cs="Arial"/>
          <w:sz w:val="18"/>
          <w:szCs w:val="18"/>
        </w:rPr>
        <w:t>From infrastructure and data,</w:t>
      </w:r>
      <w:proofErr w:type="gramEnd"/>
      <w:r>
        <w:rPr>
          <w:rFonts w:ascii="Arial" w:hAnsi="Arial" w:cs="Arial"/>
          <w:sz w:val="18"/>
          <w:szCs w:val="18"/>
        </w:rPr>
        <w:t xml:space="preserve"> to business applications and collaboration, we provide unique, differentiated </w:t>
      </w:r>
      <w:proofErr w:type="gramStart"/>
      <w:r>
        <w:rPr>
          <w:rFonts w:ascii="Arial" w:hAnsi="Arial" w:cs="Arial"/>
          <w:sz w:val="18"/>
          <w:szCs w:val="18"/>
        </w:rPr>
        <w:t>value</w:t>
      </w:r>
      <w:proofErr w:type="gramEnd"/>
      <w:r>
        <w:rPr>
          <w:rFonts w:ascii="Arial" w:hAnsi="Arial" w:cs="Arial"/>
          <w:sz w:val="18"/>
          <w:szCs w:val="18"/>
        </w:rPr>
        <w:t xml:space="preserve"> to customers. </w:t>
      </w:r>
    </w:p>
    <w:p w14:paraId="260B4890" w14:textId="77777777" w:rsidR="00D246A9" w:rsidRDefault="00D246A9">
      <w:pPr>
        <w:pStyle w:val="NormalWeb"/>
        <w:spacing w:before="240" w:beforeAutospacing="0" w:after="0" w:afterAutospacing="0"/>
        <w:jc w:val="center"/>
        <w:rPr>
          <w:rFonts w:ascii="Arial" w:hAnsi="Arial" w:cs="Arial"/>
        </w:rPr>
      </w:pPr>
      <w:r>
        <w:rPr>
          <w:rFonts w:ascii="Arial" w:hAnsi="Arial" w:cs="Arial"/>
          <w:b/>
          <w:bCs/>
        </w:rPr>
        <w:t>Fiscal Year 2023 Business Performance</w:t>
      </w:r>
    </w:p>
    <w:p w14:paraId="19EB922F" w14:textId="77777777" w:rsidR="00D246A9" w:rsidRDefault="00D246A9">
      <w:pPr>
        <w:pStyle w:val="NormalWeb"/>
        <w:keepNext/>
        <w:spacing w:before="0" w:beforeAutospacing="0" w:after="0" w:afterAutospacing="0"/>
        <w:rPr>
          <w:sz w:val="12"/>
          <w:szCs w:val="12"/>
        </w:rPr>
      </w:pPr>
      <w:r>
        <w:rPr>
          <w:sz w:val="12"/>
          <w:szCs w:val="12"/>
        </w:rPr>
        <w:t> </w:t>
      </w:r>
    </w:p>
    <w:p w14:paraId="366F9411" w14:textId="432CE72D" w:rsidR="00727068" w:rsidRDefault="00727068">
      <w:pPr>
        <w:pStyle w:val="NormalWeb"/>
        <w:spacing w:before="120" w:beforeAutospacing="0" w:after="0" w:afterAutospacing="0"/>
        <w:rPr>
          <w:rFonts w:ascii="Arial" w:hAnsi="Arial" w:cs="Arial"/>
          <w:sz w:val="18"/>
          <w:szCs w:val="18"/>
        </w:rPr>
      </w:pPr>
      <w:r>
        <w:rPr>
          <w:rFonts w:ascii="Arial" w:hAnsi="Arial" w:cs="Arial"/>
          <w:noProof/>
          <w:sz w:val="18"/>
          <w:szCs w:val="18"/>
        </w:rPr>
        <w:drawing>
          <wp:inline distT="0" distB="0" distL="0" distR="0" wp14:anchorId="2CAD84FD" wp14:editId="2211EF0D">
            <wp:extent cx="6858000" cy="409575"/>
            <wp:effectExtent l="0" t="0" r="0" b="9525"/>
            <wp:docPr id="170569657" name="Picture 21" descr="Revenue: 211.9 billion dollars; operating income, 88.5 billion dollars; net income, 72.4 billion dollars; and diluted earnings per share, $9.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9657" name="Picture 21" descr="Revenue: 211.9 billion dollars; operating income, 88.5 billion dollars; net income, 72.4 billion dollars; and diluted earnings per share, $9.68 "/>
                    <pic:cNvPicPr/>
                  </pic:nvPicPr>
                  <pic:blipFill>
                    <a:blip r:embed="rId20">
                      <a:extLst>
                        <a:ext uri="{28A0092B-C50C-407E-A947-70E740481C1C}">
                          <a14:useLocalDpi xmlns:a14="http://schemas.microsoft.com/office/drawing/2010/main" val="0"/>
                        </a:ext>
                      </a:extLst>
                    </a:blip>
                    <a:stretch>
                      <a:fillRect/>
                    </a:stretch>
                  </pic:blipFill>
                  <pic:spPr>
                    <a:xfrm>
                      <a:off x="0" y="0"/>
                      <a:ext cx="6858000" cy="409575"/>
                    </a:xfrm>
                    <a:prstGeom prst="rect">
                      <a:avLst/>
                    </a:prstGeom>
                  </pic:spPr>
                </pic:pic>
              </a:graphicData>
            </a:graphic>
          </wp:inline>
        </w:drawing>
      </w:r>
    </w:p>
    <w:p w14:paraId="0309A541" w14:textId="359F2C34"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Selected highlights from fiscal year 2023 include the following metrics. Percentages are year-over-year. </w:t>
      </w:r>
    </w:p>
    <w:p w14:paraId="24156AA2" w14:textId="77777777" w:rsidR="00D246A9" w:rsidRDefault="00D246A9" w:rsidP="0072706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Microsoft Cloud revenue increased 22% to $111.6 billion </w:t>
      </w:r>
    </w:p>
    <w:p w14:paraId="64A88F49" w14:textId="77777777" w:rsidR="00D246A9" w:rsidRDefault="00D246A9" w:rsidP="0072706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Office Commercial products and cloud services revenue increased 10% </w:t>
      </w:r>
    </w:p>
    <w:p w14:paraId="318DCA79" w14:textId="77777777" w:rsidR="00D246A9" w:rsidRDefault="00D246A9" w:rsidP="0072706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Office Consumer products and cloud services revenue increased 2% </w:t>
      </w:r>
    </w:p>
    <w:p w14:paraId="279D4D77" w14:textId="77777777" w:rsidR="00D246A9" w:rsidRDefault="00D246A9" w:rsidP="0072706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r>
      <w:proofErr w:type="spellStart"/>
      <w:r>
        <w:rPr>
          <w:rFonts w:ascii="Arial" w:hAnsi="Arial" w:cs="Arial"/>
          <w:sz w:val="18"/>
          <w:szCs w:val="18"/>
        </w:rPr>
        <w:t>Linkedln</w:t>
      </w:r>
      <w:proofErr w:type="spellEnd"/>
      <w:r>
        <w:rPr>
          <w:rFonts w:ascii="Arial" w:hAnsi="Arial" w:cs="Arial"/>
          <w:sz w:val="18"/>
          <w:szCs w:val="18"/>
        </w:rPr>
        <w:t xml:space="preserve"> revenue increased 10% </w:t>
      </w:r>
    </w:p>
    <w:p w14:paraId="58B188F9" w14:textId="77777777" w:rsidR="00D246A9" w:rsidRDefault="00D246A9" w:rsidP="0072706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Dynamics products and cloud services revenue increased 16% </w:t>
      </w:r>
    </w:p>
    <w:p w14:paraId="2DE0A1E2" w14:textId="77777777" w:rsidR="00D246A9" w:rsidRDefault="00D246A9" w:rsidP="0072706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Server products and cloud services revenue increased 19% </w:t>
      </w:r>
    </w:p>
    <w:p w14:paraId="1DAF2462" w14:textId="77777777" w:rsidR="00D246A9" w:rsidRDefault="00D246A9" w:rsidP="0072706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Windows Commercial products and cloud services revenue increased 5% </w:t>
      </w:r>
    </w:p>
    <w:p w14:paraId="63138FCD" w14:textId="77777777" w:rsidR="00D246A9" w:rsidRDefault="00D246A9" w:rsidP="0072706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Search and news advertising revenue excluding traffic acquisition costs increased 11% </w:t>
      </w:r>
    </w:p>
    <w:p w14:paraId="5F650EB9" w14:textId="5DB9FD0E" w:rsidR="00D246A9" w:rsidRDefault="00D246A9" w:rsidP="00727068">
      <w:pPr>
        <w:pStyle w:val="NormalWeb"/>
        <w:spacing w:before="120" w:beforeAutospacing="0" w:after="0" w:afterAutospacing="0"/>
        <w:rPr>
          <w:rFonts w:ascii="Arial" w:hAnsi="Arial" w:cs="Arial"/>
          <w:i/>
          <w:iCs/>
          <w:sz w:val="18"/>
          <w:szCs w:val="18"/>
        </w:rPr>
      </w:pPr>
      <w:r>
        <w:rPr>
          <w:rFonts w:ascii="Arial" w:hAnsi="Arial" w:cs="Arial"/>
          <w:sz w:val="18"/>
          <w:szCs w:val="18"/>
        </w:rPr>
        <w:t>A complete list of our fiscal year 2023 key performance metrics and their definitions is available in our Form 10-K for the fiscal year ended June 30, 2023.</w:t>
      </w:r>
      <w:r>
        <w:rPr>
          <w:rFonts w:ascii="Arial" w:hAnsi="Arial" w:cs="Arial"/>
          <w:i/>
          <w:iCs/>
          <w:sz w:val="18"/>
          <w:szCs w:val="18"/>
        </w:rPr>
        <w:t xml:space="preserve"> </w:t>
      </w:r>
    </w:p>
    <w:p w14:paraId="72DBE10C" w14:textId="02C7F65F" w:rsidR="00727068" w:rsidRPr="00727068" w:rsidRDefault="00727068" w:rsidP="00727068">
      <w:pPr>
        <w:pStyle w:val="NormalWeb"/>
        <w:spacing w:before="120" w:beforeAutospacing="0" w:after="0" w:afterAutospacing="0"/>
        <w:rPr>
          <w:rFonts w:ascii="Arial" w:hAnsi="Arial" w:cs="Arial"/>
          <w:sz w:val="18"/>
          <w:szCs w:val="18"/>
        </w:rPr>
      </w:pPr>
      <w:r>
        <w:rPr>
          <w:rFonts w:ascii="Arial" w:hAnsi="Arial" w:cs="Arial"/>
          <w:noProof/>
          <w:sz w:val="18"/>
          <w:szCs w:val="18"/>
        </w:rPr>
        <w:drawing>
          <wp:inline distT="0" distB="0" distL="0" distR="0" wp14:anchorId="4C434658" wp14:editId="312D8102">
            <wp:extent cx="6858000" cy="2121535"/>
            <wp:effectExtent l="0" t="0" r="0" b="0"/>
            <wp:docPr id="933173678" name="Picture 22" descr="Our total shareholder return and total cash returned to shareholders over the past three years have continued to be strong. &#10;&#10;Total Shareholder Return, which includes reinvestment of dividends, through June 30, 2023, was 33.88% at one year, 27.97% at two years, and 72.01% at three years. &#10;&#10;Total cash returned to shareholders was:&#10;&#10;In FY21, 22.9 billion dollars in buyback and 16.9 billion dollars in dividend. &#10;&#10;In FY22, 28 billion dollars in buyback and 18.6 billion dollars in dividend. &#10;&#10;And in FY23, 18.4 billion dollars in buyback and 20.2 billion dollars in divid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73678" name="Picture 22" descr="Our total shareholder return and total cash returned to shareholders over the past three years have continued to be strong. &#10;&#10;Total Shareholder Return, which includes reinvestment of dividends, through June 30, 2023, was 33.88% at one year, 27.97% at two years, and 72.01% at three years. &#10;&#10;Total cash returned to shareholders was:&#10;&#10;In FY21, 22.9 billion dollars in buyback and 16.9 billion dollars in dividend. &#10;&#10;In FY22, 28 billion dollars in buyback and 18.6 billion dollars in dividend. &#10;&#10;And in FY23, 18.4 billion dollars in buyback and 20.2 billion dollars in dividend. "/>
                    <pic:cNvPicPr/>
                  </pic:nvPicPr>
                  <pic:blipFill>
                    <a:blip r:embed="rId21">
                      <a:extLst>
                        <a:ext uri="{28A0092B-C50C-407E-A947-70E740481C1C}">
                          <a14:useLocalDpi xmlns:a14="http://schemas.microsoft.com/office/drawing/2010/main" val="0"/>
                        </a:ext>
                      </a:extLst>
                    </a:blip>
                    <a:stretch>
                      <a:fillRect/>
                    </a:stretch>
                  </pic:blipFill>
                  <pic:spPr>
                    <a:xfrm>
                      <a:off x="0" y="0"/>
                      <a:ext cx="6858000" cy="2121535"/>
                    </a:xfrm>
                    <a:prstGeom prst="rect">
                      <a:avLst/>
                    </a:prstGeom>
                  </pic:spPr>
                </pic:pic>
              </a:graphicData>
            </a:graphic>
          </wp:inline>
        </w:drawing>
      </w:r>
    </w:p>
    <w:p w14:paraId="42F2BD80" w14:textId="1D5E6140" w:rsidR="00D246A9" w:rsidRDefault="00F81E28" w:rsidP="00647B28">
      <w:pPr>
        <w:pStyle w:val="NormalWeb"/>
        <w:pageBreakBefore/>
        <w:spacing w:before="0" w:beforeAutospacing="0" w:after="0" w:afterAutospacing="0"/>
        <w:rPr>
          <w:rFonts w:ascii="Arial" w:hAnsi="Arial" w:cs="Arial"/>
          <w:sz w:val="28"/>
          <w:szCs w:val="28"/>
        </w:rPr>
      </w:pPr>
      <w:r>
        <w:rPr>
          <w:noProof/>
          <w:sz w:val="2"/>
          <w:szCs w:val="2"/>
        </w:rPr>
        <w:lastRenderedPageBreak/>
        <mc:AlternateContent>
          <mc:Choice Requires="wps">
            <w:drawing>
              <wp:anchor distT="0" distB="0" distL="114300" distR="114300" simplePos="0" relativeHeight="251668479" behindDoc="1" locked="0" layoutInCell="1" allowOverlap="1" wp14:anchorId="19A89834" wp14:editId="2D64823A">
                <wp:simplePos x="0" y="0"/>
                <wp:positionH relativeFrom="column">
                  <wp:posOffset>-138023</wp:posOffset>
                </wp:positionH>
                <wp:positionV relativeFrom="paragraph">
                  <wp:posOffset>-110886</wp:posOffset>
                </wp:positionV>
                <wp:extent cx="7092542" cy="8657590"/>
                <wp:effectExtent l="19050" t="19050" r="13335" b="10160"/>
                <wp:wrapNone/>
                <wp:docPr id="1099916494" name="Rectangle 1099916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542" cy="8657590"/>
                        </a:xfrm>
                        <a:prstGeom prst="rect">
                          <a:avLst/>
                        </a:prstGeom>
                        <a:solidFill>
                          <a:srgbClr val="FFFFFF"/>
                        </a:solidFill>
                        <a:ln w="28575">
                          <a:solidFill>
                            <a:srgbClr val="0075C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74422" id="Rectangle 1099916494" o:spid="_x0000_s1026" alt="&quot;&quot;" style="position:absolute;margin-left:-10.85pt;margin-top:-8.75pt;width:558.45pt;height:681.7pt;z-index:-251648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" strokecolor="#0075c9" strokeweight="2.25pt"/>
            </w:pict>
          </mc:Fallback>
        </mc:AlternateContent>
      </w:r>
      <w:r w:rsidR="00D246A9">
        <w:rPr>
          <w:rFonts w:ascii="Arial" w:hAnsi="Arial" w:cs="Arial"/>
          <w:b/>
          <w:bCs/>
          <w:color w:val="0075C9"/>
          <w:sz w:val="28"/>
          <w:szCs w:val="28"/>
        </w:rPr>
        <w:t xml:space="preserve">Governance and Board Best Practices </w:t>
      </w:r>
    </w:p>
    <w:p w14:paraId="755CBFB9" w14:textId="48EF3F5B"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mission to empower every person and every organization on the planet to achieve more is ambitious, and we cannot fulfill it with a narrow or short-term focus. Our adoption of leading governance practices fosters our sustained business success over the long term. Strong corporate governance, informed by participation from our shareholders, is essential to achieving our mission. During fiscal year 2023, independent members of our Board and members of management engaged with a cross-section of shareholders owning approximately 50% of our shares and provided shareholder feedback to the Board. </w:t>
      </w:r>
    </w:p>
    <w:p w14:paraId="02340F7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believes that having a diverse mix of directors with complementary qualifications, expertise, and attributes is essential to meeting its oversight responsibility. Of our 12 Board nominees, 11 are independent. Having an independent Board is a core element of our governance philosophy. </w:t>
      </w:r>
    </w:p>
    <w:p w14:paraId="0A453477" w14:textId="7353F477" w:rsidR="00E0529F" w:rsidRDefault="00E0529F">
      <w:pPr>
        <w:pStyle w:val="NormalWeb"/>
        <w:spacing w:before="120" w:beforeAutospacing="0" w:after="0" w:afterAutospacing="0"/>
        <w:rPr>
          <w:rFonts w:ascii="Arial" w:hAnsi="Arial" w:cs="Arial"/>
          <w:sz w:val="18"/>
          <w:szCs w:val="18"/>
        </w:rPr>
      </w:pPr>
      <w:r>
        <w:rPr>
          <w:rFonts w:ascii="Arial" w:hAnsi="Arial" w:cs="Arial"/>
          <w:noProof/>
          <w:sz w:val="18"/>
          <w:szCs w:val="18"/>
        </w:rPr>
        <w:drawing>
          <wp:inline distT="0" distB="0" distL="0" distR="0" wp14:anchorId="76D65CE2" wp14:editId="1212F5FE">
            <wp:extent cx="6858000" cy="4502785"/>
            <wp:effectExtent l="0" t="0" r="0" b="0"/>
            <wp:docPr id="1039545506" name="Picture 24" descr="Key characteristics of our director nominees include the following: &#10;&#10;8 director nominees represent diversity on our board; 6 possess financial experience; 11 have experience in global business; 12 are experienced in leadership and mergers and acquisitions, 6 have experience in sales and marketing, and 5 are experienced in technology.&#10;&#10;For board diversity, 8 nominees are diverse and 4 are non-diverse, resulting in 67% diversity.  &#10;&#10;For gender diversity, 5 nominees are women and 7 are men, resulting in 42% gender diversity.&#10;&#10;For ethnic diversity, 3 are diverse and 9 are non-diverse, resulting in 25% ethnic d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45506" name="Picture 24" descr="Key characteristics of our director nominees include the following: &#10;&#10;8 director nominees represent diversity on our board; 6 possess financial experience; 11 have experience in global business; 12 are experienced in leadership and mergers and acquisitions, 6 have experience in sales and marketing, and 5 are experienced in technology.&#10;&#10;For board diversity, 8 nominees are diverse and 4 are non-diverse, resulting in 67% diversity.  &#10;&#10;For gender diversity, 5 nominees are women and 7 are men, resulting in 42% gender diversity.&#10;&#10;For ethnic diversity, 3 are diverse and 9 are non-diverse, resulting in 25% ethnic diversity. "/>
                    <pic:cNvPicPr/>
                  </pic:nvPicPr>
                  <pic:blipFill>
                    <a:blip r:embed="rId22">
                      <a:extLst>
                        <a:ext uri="{28A0092B-C50C-407E-A947-70E740481C1C}">
                          <a14:useLocalDpi xmlns:a14="http://schemas.microsoft.com/office/drawing/2010/main" val="0"/>
                        </a:ext>
                      </a:extLst>
                    </a:blip>
                    <a:stretch>
                      <a:fillRect/>
                    </a:stretch>
                  </pic:blipFill>
                  <pic:spPr>
                    <a:xfrm>
                      <a:off x="0" y="0"/>
                      <a:ext cx="6858000" cy="4502785"/>
                    </a:xfrm>
                    <a:prstGeom prst="rect">
                      <a:avLst/>
                    </a:prstGeom>
                  </pic:spPr>
                </pic:pic>
              </a:graphicData>
            </a:graphic>
          </wp:inline>
        </w:drawing>
      </w:r>
    </w:p>
    <w:p w14:paraId="2C2C7F69" w14:textId="77777777" w:rsidR="00D246A9" w:rsidRPr="00306F7C" w:rsidRDefault="00D246A9">
      <w:pPr>
        <w:pStyle w:val="NormalWeb"/>
        <w:spacing w:before="240" w:beforeAutospacing="0" w:after="0" w:afterAutospacing="0"/>
        <w:jc w:val="center"/>
        <w:rPr>
          <w:rFonts w:ascii="Arial" w:hAnsi="Arial" w:cs="Arial"/>
        </w:rPr>
      </w:pPr>
      <w:r>
        <w:rPr>
          <w:rFonts w:ascii="Arial" w:hAnsi="Arial" w:cs="Arial"/>
          <w:b/>
          <w:bCs/>
        </w:rPr>
        <w:t xml:space="preserve">Independent, Effective Board Oversight </w:t>
      </w:r>
    </w:p>
    <w:p w14:paraId="42209FBC" w14:textId="77777777" w:rsidR="00D246A9" w:rsidRDefault="00D246A9">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600" w:firstRow="0" w:lastRow="0" w:firstColumn="0" w:lastColumn="0" w:noHBand="1" w:noVBand="1"/>
      </w:tblPr>
      <w:tblGrid>
        <w:gridCol w:w="4731"/>
        <w:gridCol w:w="6069"/>
      </w:tblGrid>
      <w:tr w:rsidR="00D246A9" w14:paraId="1A56AEFB" w14:textId="77777777" w:rsidTr="00E0529F">
        <w:trPr>
          <w:cantSplit/>
          <w:jc w:val="center"/>
        </w:trPr>
        <w:tc>
          <w:tcPr>
            <w:tcW w:w="4731" w:type="dxa"/>
            <w:hideMark/>
          </w:tcPr>
          <w:p w14:paraId="4B3D3515" w14:textId="77777777" w:rsidR="00D246A9" w:rsidRPr="00306F7C"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Lead Independent Director</w:t>
            </w:r>
          </w:p>
          <w:p w14:paraId="062A32D6"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BECE4C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11 of 12 director nominees are independent</w:t>
            </w:r>
          </w:p>
          <w:p w14:paraId="6A127AFD"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6205390A"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All committee chairs and members are independent</w:t>
            </w:r>
          </w:p>
          <w:p w14:paraId="7D6A1B82"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6AAE332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Board-adopted refreshment commitment to maintain an average tenure of 10 years or less for its independent directors as a group</w:t>
            </w:r>
          </w:p>
          <w:p w14:paraId="37EC37DB"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C278F3E"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The Board is committed to actively seeking highly qualified women and individuals from minority groups to include in the pool of potential Board nominees and CEO candidates</w:t>
            </w:r>
          </w:p>
        </w:tc>
        <w:tc>
          <w:tcPr>
            <w:tcW w:w="6069" w:type="dxa"/>
            <w:hideMark/>
          </w:tcPr>
          <w:p w14:paraId="14AF30B1"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sessions provided for all quarterly Board and committee meetings</w:t>
            </w:r>
          </w:p>
          <w:p w14:paraId="1FEBB0D2"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FEB3CCF"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Annual Board and committee evaluations, periodically using a third-party facilitator to conduct the evaluations</w:t>
            </w:r>
          </w:p>
          <w:p w14:paraId="6E88A6D7"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0B75778D"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Director orientation and continuing education and strategy programs for directors</w:t>
            </w:r>
          </w:p>
          <w:p w14:paraId="34781000"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D0A972E"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All current Audit Committee members meet the Nasdaq Stock Market LLC listing standard of financial sophistication, and three members are “audit committee financial experts” under the Securities and Exchange Commission rules</w:t>
            </w:r>
          </w:p>
        </w:tc>
      </w:tr>
    </w:tbl>
    <w:p w14:paraId="13EC51A0" w14:textId="77777777" w:rsidR="00D246A9" w:rsidRPr="00306F7C" w:rsidRDefault="00D246A9">
      <w:pPr>
        <w:pStyle w:val="NormalWeb"/>
        <w:spacing w:before="180" w:beforeAutospacing="0" w:after="0" w:afterAutospacing="0"/>
        <w:rPr>
          <w:sz w:val="2"/>
          <w:szCs w:val="2"/>
        </w:rPr>
      </w:pPr>
      <w:r>
        <w:rPr>
          <w:sz w:val="2"/>
          <w:szCs w:val="2"/>
        </w:rPr>
        <w:t> </w:t>
      </w:r>
    </w:p>
    <w:p w14:paraId="6C041F05" w14:textId="7F7A6922" w:rsidR="00D246A9" w:rsidRDefault="00F81E28" w:rsidP="00647B28">
      <w:pPr>
        <w:pStyle w:val="NormalWeb"/>
        <w:pageBreakBefore/>
        <w:spacing w:before="0" w:beforeAutospacing="0" w:after="0" w:afterAutospacing="0"/>
        <w:jc w:val="center"/>
        <w:rPr>
          <w:rFonts w:ascii="Arial" w:hAnsi="Arial" w:cs="Arial"/>
        </w:rPr>
      </w:pPr>
      <w:r>
        <w:rPr>
          <w:noProof/>
          <w:sz w:val="2"/>
          <w:szCs w:val="2"/>
        </w:rPr>
        <w:lastRenderedPageBreak/>
        <mc:AlternateContent>
          <mc:Choice Requires="wps">
            <w:drawing>
              <wp:anchor distT="0" distB="0" distL="114300" distR="114300" simplePos="0" relativeHeight="251670527" behindDoc="1" locked="0" layoutInCell="1" allowOverlap="1" wp14:anchorId="5D48187E" wp14:editId="5B172CEA">
                <wp:simplePos x="0" y="0"/>
                <wp:positionH relativeFrom="column">
                  <wp:posOffset>-130439</wp:posOffset>
                </wp:positionH>
                <wp:positionV relativeFrom="paragraph">
                  <wp:posOffset>-222885</wp:posOffset>
                </wp:positionV>
                <wp:extent cx="7092542" cy="8657590"/>
                <wp:effectExtent l="19050" t="19050" r="13335" b="10160"/>
                <wp:wrapNone/>
                <wp:docPr id="1747034428" name="Rectangle 1747034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542" cy="8657590"/>
                        </a:xfrm>
                        <a:prstGeom prst="rect">
                          <a:avLst/>
                        </a:prstGeom>
                        <a:solidFill>
                          <a:srgbClr val="FFFFFF"/>
                        </a:solidFill>
                        <a:ln w="28575">
                          <a:solidFill>
                            <a:srgbClr val="0075C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315CA" id="Rectangle 1747034428" o:spid="_x0000_s1026" alt="&quot;&quot;" style="position:absolute;margin-left:-10.25pt;margin-top:-17.55pt;width:558.45pt;height:681.7pt;z-index:-251645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" strokecolor="#0075c9" strokeweight="2.25pt"/>
            </w:pict>
          </mc:Fallback>
        </mc:AlternateContent>
      </w:r>
      <w:r w:rsidR="00D246A9">
        <w:rPr>
          <w:rFonts w:ascii="Arial" w:hAnsi="Arial" w:cs="Arial"/>
          <w:b/>
          <w:bCs/>
        </w:rPr>
        <w:t xml:space="preserve">Shareholder Rights </w:t>
      </w:r>
    </w:p>
    <w:p w14:paraId="7526EFFC" w14:textId="77777777" w:rsidR="00D246A9" w:rsidRDefault="00D246A9" w:rsidP="00E0529F">
      <w:pPr>
        <w:pStyle w:val="NormalWeb"/>
        <w:spacing w:before="12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Single class of stock with equal voting rights </w:t>
      </w:r>
    </w:p>
    <w:p w14:paraId="71D18969" w14:textId="77777777" w:rsidR="00D246A9" w:rsidRDefault="00D246A9" w:rsidP="00E0529F">
      <w:pPr>
        <w:pStyle w:val="NormalWeb"/>
        <w:spacing w:before="12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All directors are elected annually </w:t>
      </w:r>
    </w:p>
    <w:p w14:paraId="0E916C85" w14:textId="77777777" w:rsidR="00D246A9" w:rsidRDefault="00D246A9" w:rsidP="00E0529F">
      <w:pPr>
        <w:pStyle w:val="NormalWeb"/>
        <w:spacing w:before="12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Directors are elected by majority vote in uncontested elections </w:t>
      </w:r>
    </w:p>
    <w:p w14:paraId="7BFCE907" w14:textId="77777777" w:rsidR="00D246A9" w:rsidRDefault="00D246A9" w:rsidP="00E0529F">
      <w:pPr>
        <w:pStyle w:val="NormalWeb"/>
        <w:spacing w:before="12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Confidential voting policy </w:t>
      </w:r>
    </w:p>
    <w:p w14:paraId="3084B305" w14:textId="6A2AC8B1" w:rsidR="00D246A9" w:rsidRDefault="00D246A9" w:rsidP="00E0529F">
      <w:pPr>
        <w:pStyle w:val="NormalWeb"/>
        <w:spacing w:before="12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15% of outstanding shares can call a special meeting </w:t>
      </w:r>
    </w:p>
    <w:p w14:paraId="6DD49BDC" w14:textId="16129564" w:rsidR="00D246A9" w:rsidRDefault="00D246A9" w:rsidP="00E0529F">
      <w:pPr>
        <w:pStyle w:val="NormalWeb"/>
        <w:spacing w:before="12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Our Bylaws provide for “proxy access” by shareholders </w:t>
      </w:r>
    </w:p>
    <w:p w14:paraId="106C26FC" w14:textId="77777777" w:rsidR="00D246A9" w:rsidRDefault="00D246A9">
      <w:pPr>
        <w:pStyle w:val="NormalWeb"/>
        <w:keepNext/>
        <w:spacing w:before="0" w:beforeAutospacing="0" w:after="0" w:afterAutospacing="0"/>
      </w:pPr>
      <w:r>
        <w:t> </w:t>
      </w:r>
    </w:p>
    <w:p w14:paraId="20203FEE" w14:textId="77777777" w:rsidR="00D246A9" w:rsidRDefault="00D246A9">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See Part 1 – Governance and our Board of Directors and Part 5 – Information About the Meeting for more information. </w:t>
      </w:r>
    </w:p>
    <w:p w14:paraId="104151A6" w14:textId="7E22288B" w:rsidR="00D246A9" w:rsidRDefault="00D246A9">
      <w:pPr>
        <w:pStyle w:val="NormalWeb"/>
        <w:spacing w:before="240" w:beforeAutospacing="0" w:after="0" w:afterAutospacing="0"/>
        <w:rPr>
          <w:sz w:val="2"/>
          <w:szCs w:val="2"/>
        </w:rPr>
      </w:pPr>
      <w:r>
        <w:rPr>
          <w:sz w:val="2"/>
          <w:szCs w:val="2"/>
        </w:rPr>
        <w:t> </w:t>
      </w:r>
    </w:p>
    <w:p w14:paraId="34E60C05" w14:textId="77777777" w:rsidR="00D246A9" w:rsidRPr="00B4165A" w:rsidRDefault="00D246A9" w:rsidP="00B4165A">
      <w:pPr>
        <w:pStyle w:val="Heading2"/>
      </w:pPr>
      <w:r w:rsidRPr="00B4165A">
        <w:lastRenderedPageBreak/>
        <w:t xml:space="preserve">1. Governance and our Board of Directors </w:t>
      </w:r>
    </w:p>
    <w:p w14:paraId="7867F6ED" w14:textId="77777777" w:rsidR="00D246A9" w:rsidRDefault="00D246A9">
      <w:pPr>
        <w:pStyle w:val="NormalWeb"/>
        <w:keepNext/>
        <w:spacing w:before="0" w:beforeAutospacing="0" w:after="0" w:afterAutospacing="0"/>
        <w:rPr>
          <w:sz w:val="12"/>
          <w:szCs w:val="12"/>
        </w:rPr>
      </w:pPr>
      <w:r>
        <w:rPr>
          <w:sz w:val="12"/>
          <w:szCs w:val="12"/>
        </w:rPr>
        <w:t> </w:t>
      </w:r>
    </w:p>
    <w:p w14:paraId="4778DD81" w14:textId="77777777" w:rsidR="00D246A9" w:rsidRDefault="00D246A9">
      <w:pPr>
        <w:pStyle w:val="rrdsinglerule"/>
        <w:pBdr>
          <w:top w:val="single" w:sz="6" w:space="0" w:color="0075C9"/>
        </w:pBdr>
        <w:spacing w:before="240"/>
        <w:rPr>
          <w:sz w:val="24"/>
          <w:szCs w:val="24"/>
        </w:rPr>
      </w:pPr>
      <w:r>
        <w:t> </w:t>
      </w:r>
    </w:p>
    <w:p w14:paraId="02D67E00" w14:textId="77777777" w:rsidR="00D246A9" w:rsidRPr="00B4165A" w:rsidRDefault="00D246A9" w:rsidP="00B4165A">
      <w:pPr>
        <w:pStyle w:val="Heading3"/>
      </w:pPr>
      <w:r w:rsidRPr="00B4165A">
        <w:t xml:space="preserve">Earning Trust </w:t>
      </w:r>
    </w:p>
    <w:p w14:paraId="79AC7B3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Earning the trust of our customers, partners, shareholders, and other stakeholders is the foundation of our business success and is fundamental to realizing Microsoft’s mission to empower every person and every organization on the planet to achieve more. The Board of Directors is committed to building trust through strong corporate governance, effective oversight, and strategic engagement. Together, these ensure accountability and position Microsoft for sustained success in a turbulent world. </w:t>
      </w:r>
    </w:p>
    <w:p w14:paraId="68FF2C0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Like many in the investor community, the Board and Microsoft’s leaders recognize the interconnections between corporate governance and effective business responses to pressing environmental and social challenges. In considering these challenges, Microsoft and its Board have proactively engaged with investors to learn from their perspectives and to share the Company’s approach, as well as considering best practices from our industry peers, partners, customers, and the broader business community. Microsoft’s Board and management team understand that the work the Company does across a spectrum of environmental and social areas makes an important contribution to the Company’s long-term financial performance and growth. We are committed to building and executing on strategies to help foster a healthy planet and advance a more inclusive global economy that fosters additional growth opportunities for everyone. Microsoft’s management benefits from the oversight and diverse perspectives offered by the Board and its committees, which cover a broad range of environmental, social, and governance (“ESG”) topics, which are described throughout this Proxy Statement. </w:t>
      </w:r>
    </w:p>
    <w:p w14:paraId="20489A2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also gains trust from our longstanding commitments to conducting our business in ways that are principled, transparent, and accountable. The foundation of these commitments is expressed in Microsoft’s Standards of Business Conduct (“Trust Code”) at </w:t>
      </w:r>
      <w:r>
        <w:rPr>
          <w:rFonts w:ascii="Arial" w:hAnsi="Arial" w:cs="Arial"/>
          <w:sz w:val="18"/>
          <w:szCs w:val="18"/>
          <w:u w:val="single"/>
        </w:rPr>
        <w:t>aka.ms/policiesandguidelines</w:t>
      </w:r>
      <w:r>
        <w:rPr>
          <w:rFonts w:ascii="Arial" w:hAnsi="Arial" w:cs="Arial"/>
          <w:sz w:val="18"/>
          <w:szCs w:val="18"/>
        </w:rPr>
        <w:t xml:space="preserve"> which apply to our employees, officers, Board of Directors, and our subsidiaries and controlled affiliates across the globe. The Trust Code requires not only legal compliance, but also broader commitments to address accessibility, diversity and inclusion, human rights, and privacy. In support of the Trust Code, we strive to build a workplace culture that embraces learning and fosters trust – a culture where every employee feels free to ask questions and raise concerns when something doesn’t seem right. We extend our high expectations to suppliers who do business with Microsoft, requiring them to uphold the human rights, labor, health and safety, environmental, and business ethics practices prescribed in our Supplier Code of Conduct at </w:t>
      </w:r>
      <w:r>
        <w:rPr>
          <w:rFonts w:ascii="Arial" w:hAnsi="Arial" w:cs="Arial"/>
          <w:sz w:val="18"/>
          <w:szCs w:val="18"/>
          <w:u w:val="single"/>
        </w:rPr>
        <w:t>aka.ms/scoc</w:t>
      </w:r>
      <w:r>
        <w:rPr>
          <w:rFonts w:ascii="Arial" w:hAnsi="Arial" w:cs="Arial"/>
          <w:sz w:val="18"/>
          <w:szCs w:val="18"/>
        </w:rPr>
        <w:t xml:space="preserve">. </w:t>
      </w:r>
    </w:p>
    <w:p w14:paraId="1C4E97F2" w14:textId="77777777" w:rsidR="00D246A9" w:rsidRDefault="00D246A9">
      <w:pPr>
        <w:pStyle w:val="rrdsinglerule"/>
        <w:pBdr>
          <w:top w:val="single" w:sz="6" w:space="0" w:color="0075C9"/>
        </w:pBdr>
        <w:spacing w:before="480"/>
        <w:rPr>
          <w:sz w:val="24"/>
          <w:szCs w:val="24"/>
        </w:rPr>
      </w:pPr>
      <w:r>
        <w:t> </w:t>
      </w:r>
    </w:p>
    <w:p w14:paraId="0E27E739" w14:textId="77777777" w:rsidR="00D246A9" w:rsidRDefault="00D246A9" w:rsidP="00B4165A">
      <w:pPr>
        <w:pStyle w:val="Heading3"/>
      </w:pPr>
      <w:r>
        <w:t xml:space="preserve">Concrete Commitments and Transparent Reporting on Progress </w:t>
      </w:r>
    </w:p>
    <w:p w14:paraId="2BDE340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hold ourselves accountable by publicly reporting on our policies, practices, and performance to provide our stakeholders visibility into how we are meeting our commitments and responsibilities. We believe our position in the world demands it, and we are confident that it is critical to fostering our long-term business success. Our Reports </w:t>
      </w:r>
      <w:proofErr w:type="gramStart"/>
      <w:r>
        <w:rPr>
          <w:rFonts w:ascii="Arial" w:hAnsi="Arial" w:cs="Arial"/>
          <w:sz w:val="18"/>
          <w:szCs w:val="18"/>
        </w:rPr>
        <w:t>Hub</w:t>
      </w:r>
      <w:proofErr w:type="gramEnd"/>
      <w:r>
        <w:rPr>
          <w:rFonts w:ascii="Arial" w:hAnsi="Arial" w:cs="Arial"/>
          <w:sz w:val="18"/>
          <w:szCs w:val="18"/>
        </w:rPr>
        <w:t xml:space="preserve"> available at </w:t>
      </w:r>
      <w:r>
        <w:rPr>
          <w:rFonts w:ascii="Arial" w:hAnsi="Arial" w:cs="Arial"/>
          <w:sz w:val="18"/>
          <w:szCs w:val="18"/>
          <w:u w:val="single"/>
        </w:rPr>
        <w:t>microsoft.com/transparency</w:t>
      </w:r>
      <w:r>
        <w:rPr>
          <w:rFonts w:ascii="Arial" w:hAnsi="Arial" w:cs="Arial"/>
          <w:sz w:val="18"/>
          <w:szCs w:val="18"/>
        </w:rPr>
        <w:t xml:space="preserve"> provides a consolidated, comprehensive view of our ESG reporting and data ranging from our carbon footprint to workforce demographics to political donations. We work to align our ESG reporting to commonly used global standards such as those provided by the Task Force on Climate-Related Financial Disclosures (“TCFD”). In addition, we were among the first companies to align our human rights work with the United Nations Guiding Principles on Business and Human Rights and to adopt the United Nations Guiding Principles Reporting Framework. </w:t>
      </w:r>
    </w:p>
    <w:p w14:paraId="067F8EF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Recognizing the interest of shareholders in establishing greater transparency about corporate political contributions, we disclose our political contributions to support candidates and ballot measures and how certain of our trade association membership dues are used for political activities. As part of our commitment to transparency, we developed the Principles and Policies for Guiding Microsoft’s Participation in the Public Policy Process in the U.S., which focuses on ensuring compliance with applicable federal and state laws and goes beyond compliance to implement what we consider leading practices in corporate accountability, transparency, integrity, and responsibility. The policy is available at </w:t>
      </w:r>
      <w:r>
        <w:rPr>
          <w:rFonts w:ascii="Arial" w:hAnsi="Arial" w:cs="Arial"/>
          <w:sz w:val="18"/>
          <w:szCs w:val="18"/>
          <w:u w:val="single"/>
        </w:rPr>
        <w:t>microsoft.com/public-policy-engagement</w:t>
      </w:r>
      <w:r>
        <w:rPr>
          <w:rFonts w:ascii="Arial" w:hAnsi="Arial" w:cs="Arial"/>
          <w:sz w:val="18"/>
          <w:szCs w:val="18"/>
        </w:rPr>
        <w:t xml:space="preserve">. </w:t>
      </w:r>
    </w:p>
    <w:p w14:paraId="669D8FE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corporate governance policies and practices described throughout this Proxy Statement and the effective, engaged Board oversight they foster provide the foundation for all of our commitments. </w:t>
      </w:r>
    </w:p>
    <w:p w14:paraId="45A72EEB" w14:textId="77777777" w:rsidR="00D246A9" w:rsidRDefault="00D246A9">
      <w:pPr>
        <w:pStyle w:val="NormalWeb"/>
        <w:spacing w:before="360" w:beforeAutospacing="0" w:after="0" w:afterAutospacing="0"/>
        <w:rPr>
          <w:sz w:val="2"/>
          <w:szCs w:val="2"/>
        </w:rPr>
      </w:pPr>
      <w:r>
        <w:rPr>
          <w:sz w:val="2"/>
          <w:szCs w:val="2"/>
        </w:rPr>
        <w:t> </w:t>
      </w:r>
    </w:p>
    <w:p w14:paraId="39BFD393" w14:textId="77777777" w:rsidR="00D246A9" w:rsidRDefault="00D246A9">
      <w:pPr>
        <w:pStyle w:val="rrdsinglerule"/>
        <w:pBdr>
          <w:top w:val="single" w:sz="6" w:space="0" w:color="0075C9"/>
        </w:pBdr>
        <w:spacing w:before="0"/>
        <w:rPr>
          <w:sz w:val="24"/>
          <w:szCs w:val="24"/>
        </w:rPr>
      </w:pPr>
      <w:r>
        <w:t> </w:t>
      </w:r>
    </w:p>
    <w:p w14:paraId="0F247EF4" w14:textId="77777777" w:rsidR="00D246A9" w:rsidRDefault="00D246A9" w:rsidP="00B4165A">
      <w:pPr>
        <w:pStyle w:val="Heading3"/>
      </w:pPr>
      <w:r>
        <w:t xml:space="preserve">Engagement with Environmental and Social Topics </w:t>
      </w:r>
    </w:p>
    <w:p w14:paraId="0627143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Below are five important initiatives that we know are of interest to many of our shareholders and other stakeholders based on feedback we have received. A wide range of information about other environmental and social topics is available at </w:t>
      </w:r>
      <w:r>
        <w:rPr>
          <w:rFonts w:ascii="Arial" w:hAnsi="Arial" w:cs="Arial"/>
          <w:sz w:val="18"/>
          <w:szCs w:val="18"/>
          <w:u w:val="single"/>
        </w:rPr>
        <w:t>microsoft.com/</w:t>
      </w:r>
      <w:proofErr w:type="spellStart"/>
      <w:r>
        <w:rPr>
          <w:rFonts w:ascii="Arial" w:hAnsi="Arial" w:cs="Arial"/>
          <w:sz w:val="18"/>
          <w:szCs w:val="18"/>
          <w:u w:val="single"/>
        </w:rPr>
        <w:t>csr</w:t>
      </w:r>
      <w:proofErr w:type="spellEnd"/>
      <w:r>
        <w:rPr>
          <w:rFonts w:ascii="Arial" w:hAnsi="Arial" w:cs="Arial"/>
          <w:sz w:val="18"/>
          <w:szCs w:val="18"/>
        </w:rPr>
        <w:t xml:space="preserve">. </w:t>
      </w:r>
    </w:p>
    <w:p w14:paraId="2440011D" w14:textId="77777777" w:rsidR="00D246A9" w:rsidRPr="00B4165A" w:rsidRDefault="00D246A9" w:rsidP="00B4165A">
      <w:pPr>
        <w:pStyle w:val="Heading4"/>
      </w:pPr>
      <w:r w:rsidRPr="00B4165A">
        <w:t xml:space="preserve">Environmental Sustainability </w:t>
      </w:r>
    </w:p>
    <w:p w14:paraId="46777BA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strategy for a sustainable future focuses on addressing carbon emissions, ecosystems, water, and waste. In January 2020, we announced a bold commitment and detailed plan to be carbon negative by 2030, and to remove from the environment by 2050 all the carbon we have emitted since Microsoft’s founding in 1975. This included a commitment to invest $1 billion over four years in new technologies and innovative climate solutions. We built on this pledge by adding commitments to be water positive by 2030, zero waste by 2030, and to protect ecosystems by developing a Planetary Computer. Furthermore, we enhanced transparency by subjecting the data in our annual sustainability report to third-party review and accountability by including progress on sustainability goals as a factor in determining executive pay. We report our progress towards our 2030 goals annually at </w:t>
      </w:r>
      <w:r>
        <w:rPr>
          <w:rFonts w:ascii="Arial" w:hAnsi="Arial" w:cs="Arial"/>
          <w:sz w:val="18"/>
          <w:szCs w:val="18"/>
          <w:u w:val="single"/>
        </w:rPr>
        <w:t>aka.ms/</w:t>
      </w:r>
      <w:proofErr w:type="spellStart"/>
      <w:r>
        <w:rPr>
          <w:rFonts w:ascii="Arial" w:hAnsi="Arial" w:cs="Arial"/>
          <w:sz w:val="18"/>
          <w:szCs w:val="18"/>
          <w:u w:val="single"/>
        </w:rPr>
        <w:t>MSFTsustainabilityreport</w:t>
      </w:r>
      <w:proofErr w:type="spellEnd"/>
      <w:r>
        <w:rPr>
          <w:rFonts w:ascii="Arial" w:hAnsi="Arial" w:cs="Arial"/>
          <w:sz w:val="18"/>
          <w:szCs w:val="18"/>
        </w:rPr>
        <w:t xml:space="preserve"> and the </w:t>
      </w:r>
      <w:r>
        <w:rPr>
          <w:rFonts w:ascii="Arial" w:hAnsi="Arial" w:cs="Arial"/>
          <w:sz w:val="18"/>
          <w:szCs w:val="18"/>
        </w:rPr>
        <w:lastRenderedPageBreak/>
        <w:t xml:space="preserve">latest information is available at </w:t>
      </w:r>
      <w:r>
        <w:rPr>
          <w:rFonts w:ascii="Arial" w:hAnsi="Arial" w:cs="Arial"/>
          <w:sz w:val="18"/>
          <w:szCs w:val="18"/>
          <w:u w:val="single"/>
        </w:rPr>
        <w:t>microsoft.com/environment</w:t>
      </w:r>
      <w:r>
        <w:rPr>
          <w:rFonts w:ascii="Arial" w:hAnsi="Arial" w:cs="Arial"/>
          <w:sz w:val="18"/>
          <w:szCs w:val="18"/>
        </w:rPr>
        <w:t xml:space="preserve">. Microsoft’s Environmental, Social, and Public Policy Committee provides oversight and guidance on Microsoft’s environmental sustainability strategy and commitments. </w:t>
      </w:r>
    </w:p>
    <w:p w14:paraId="70D0298F" w14:textId="77777777" w:rsidR="00D246A9" w:rsidRDefault="00D246A9" w:rsidP="00B4165A">
      <w:pPr>
        <w:pStyle w:val="Heading4"/>
      </w:pPr>
      <w:r>
        <w:t xml:space="preserve">Responsible Artificial Intelligence (“AI”) </w:t>
      </w:r>
    </w:p>
    <w:p w14:paraId="7CD7360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approach to Responsible AI is guided by the belief that when you create technologies that can change the world, you must also ensure that the technology is used responsibly. We are committed to creating responsible AI by design. Our work is guided by a core set of principles: fairness, reliability and safety, privacy and security, inclusiveness, transparency, and accountability. We are putting those principles into practice across the Company to develop and deploy AI that will have a positive impact on society. We take a cross-Company approach through cutting-edge research, best-of-breed engineering systems, and excellence in policy and governance. More information and resources are available at </w:t>
      </w:r>
      <w:r>
        <w:rPr>
          <w:rFonts w:ascii="Arial" w:hAnsi="Arial" w:cs="Arial"/>
          <w:sz w:val="18"/>
          <w:szCs w:val="18"/>
          <w:u w:val="single"/>
        </w:rPr>
        <w:t>microsoft.com/ai/our-approach</w:t>
      </w:r>
      <w:r>
        <w:rPr>
          <w:rFonts w:ascii="Arial" w:hAnsi="Arial" w:cs="Arial"/>
          <w:sz w:val="18"/>
          <w:szCs w:val="18"/>
        </w:rPr>
        <w:t xml:space="preserve">. Microsoft’s Environmental, Social, and Public Policy Committee provides oversight and guidance to management on responsible AI policies and programs. </w:t>
      </w:r>
    </w:p>
    <w:p w14:paraId="673FA34C" w14:textId="77777777" w:rsidR="00D246A9" w:rsidRDefault="00D246A9" w:rsidP="00B4165A">
      <w:pPr>
        <w:pStyle w:val="Heading4"/>
      </w:pPr>
      <w:r>
        <w:t xml:space="preserve">Human Capital </w:t>
      </w:r>
    </w:p>
    <w:p w14:paraId="0F6879D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Microsoft aims to recruit, develop, and retain world-changing talent from a diversity of backgrounds. To foster their and our success, we seek to create an environment where people can thrive and do their best work. We strive to maximize the potential of our human capital resources by creating a respectful, rewarding, and inclusive work environment that enables our global employees to create products and services that further our mission.</w:t>
      </w:r>
    </w:p>
    <w:p w14:paraId="3617282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Information regarding our diversity and racial equity initiatives is available at </w:t>
      </w:r>
      <w:r>
        <w:rPr>
          <w:rFonts w:ascii="Arial" w:hAnsi="Arial" w:cs="Arial"/>
          <w:sz w:val="18"/>
          <w:szCs w:val="18"/>
          <w:u w:val="single"/>
        </w:rPr>
        <w:t>microsoft.com/diversity</w:t>
      </w:r>
      <w:r>
        <w:rPr>
          <w:rFonts w:ascii="Arial" w:hAnsi="Arial" w:cs="Arial"/>
          <w:sz w:val="18"/>
          <w:szCs w:val="18"/>
        </w:rPr>
        <w:t xml:space="preserve"> and </w:t>
      </w:r>
      <w:r>
        <w:rPr>
          <w:rFonts w:ascii="Arial" w:hAnsi="Arial" w:cs="Arial"/>
          <w:sz w:val="18"/>
          <w:szCs w:val="18"/>
          <w:u w:val="single"/>
        </w:rPr>
        <w:t>microsoft.com/racial-equity-initiative</w:t>
      </w:r>
      <w:r>
        <w:rPr>
          <w:rFonts w:ascii="Arial" w:hAnsi="Arial" w:cs="Arial"/>
          <w:sz w:val="18"/>
          <w:szCs w:val="18"/>
        </w:rPr>
        <w:t xml:space="preserve">, and we detail our approach to human capital management across topics ranging from culture to pay equity to learning and development and more in the “Human Capital Resources” section of our Form 10-K for the fiscal year ended June 30, 2023. Microsoft’s Board and its Compensation Committee provide oversight and guidance to management on workplace and culture. </w:t>
      </w:r>
    </w:p>
    <w:p w14:paraId="316BAA4C" w14:textId="77777777" w:rsidR="00D246A9" w:rsidRDefault="00D246A9" w:rsidP="00B4165A">
      <w:pPr>
        <w:pStyle w:val="Heading4"/>
      </w:pPr>
      <w:r>
        <w:t xml:space="preserve">Privacy and Cybersecurity </w:t>
      </w:r>
    </w:p>
    <w:p w14:paraId="0A70E87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is committed to integrating privacy and security into product, service, and technology design. As we articulate in our Privacy Principles, we value, protect, and defend privacy and empower people and organizations to control their data and have meaningful choices in how it is used. More information is available at </w:t>
      </w:r>
      <w:r>
        <w:rPr>
          <w:rFonts w:ascii="Arial" w:hAnsi="Arial" w:cs="Arial"/>
          <w:sz w:val="18"/>
          <w:szCs w:val="18"/>
          <w:u w:val="single"/>
        </w:rPr>
        <w:t>microsoft.com/privacy</w:t>
      </w:r>
      <w:r>
        <w:rPr>
          <w:rFonts w:ascii="Arial" w:hAnsi="Arial" w:cs="Arial"/>
          <w:sz w:val="18"/>
          <w:szCs w:val="18"/>
        </w:rPr>
        <w:t xml:space="preserve">. Microsoft’s Environmental, Social, and Public Policy Committee provides oversight and guidance on Microsoft’s privacy policies and programs. </w:t>
      </w:r>
    </w:p>
    <w:p w14:paraId="2892382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Cybersecurity is a central challenge in the digital age and Microsoft is in the midst of a five-year public commitment to invest $20 billion to accelerate efforts to integrate cybersecurity protection by design and deliver advanced enterprise security solutions</w:t>
      </w:r>
      <w:r>
        <w:rPr>
          <w:rFonts w:ascii="Arial" w:hAnsi="Arial" w:cs="Arial"/>
          <w:b/>
          <w:bCs/>
          <w:sz w:val="18"/>
          <w:szCs w:val="18"/>
        </w:rPr>
        <w:t>.</w:t>
      </w:r>
      <w:r>
        <w:rPr>
          <w:rFonts w:ascii="Arial" w:hAnsi="Arial" w:cs="Arial"/>
          <w:sz w:val="18"/>
          <w:szCs w:val="18"/>
        </w:rPr>
        <w:t xml:space="preserve"> Every service and product line at Microsoft has a dedicated security team as well as cross-company researchers, analysts, and other experts supporting our security products and services. We have established specialized groups such as the Microsoft Threat Intelligence Center focused on threat tracking, the Microsoft Digital Crimes Unit, which partners with law enforcement agencies around the world to fight cybercrime, and the Digital Threat Analysis Center, which detects, assesses, and disrupts digital threats to Microsoft, its customers, and democracies worldwide. Microsoft’s Board maintains direct oversight over cybersecurity risk. The Board receives and provides feedback on regular updates from management regarding cybersecurity governance processes, the status of projects to strengthen internal cybersecurity, security features of the products and services we provide our customers, and the results of security breach simulations. </w:t>
      </w:r>
    </w:p>
    <w:p w14:paraId="0C8108BD" w14:textId="77777777" w:rsidR="00D246A9" w:rsidRDefault="00D246A9" w:rsidP="00B4165A">
      <w:pPr>
        <w:pStyle w:val="Heading4"/>
      </w:pPr>
      <w:r>
        <w:t xml:space="preserve">Racial Equity Initiative </w:t>
      </w:r>
    </w:p>
    <w:p w14:paraId="4D38E29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are committed to addressing racial injustice and inequity in the United States for Black and African American communities and helping improve lived experiences at Microsoft, in employees’ communities, and beyond. With input and feedback from employees and community leaders, we developed a set of actions that we believe are meaningful to improve the lived experience at Microsoft as well as drive change in the communities in which we live and work. Our Racial Equity Initiative focuses on three multi-year pillars, each containing actions and progress we expect to make or exceed by 2025. Details on the components of this important initiative and a fact sheet on our progress three years after its launch are available at </w:t>
      </w:r>
      <w:r>
        <w:rPr>
          <w:rFonts w:ascii="Arial" w:hAnsi="Arial" w:cs="Arial"/>
          <w:sz w:val="18"/>
          <w:szCs w:val="18"/>
          <w:u w:val="single"/>
        </w:rPr>
        <w:t>microsoft.com/racial-equity-initiative</w:t>
      </w:r>
      <w:r>
        <w:rPr>
          <w:rFonts w:ascii="Arial" w:hAnsi="Arial" w:cs="Arial"/>
          <w:sz w:val="18"/>
          <w:szCs w:val="18"/>
        </w:rPr>
        <w:t xml:space="preserve">. Microsoft’s Board, its Environmental, Social, and Public Policy Committee, and its Compensation Committee provide oversight on many aspects of the Company’s commitments through its Racial Equity Initiative. </w:t>
      </w:r>
    </w:p>
    <w:p w14:paraId="1A59DA4E" w14:textId="77777777" w:rsidR="00D246A9" w:rsidRDefault="00D246A9">
      <w:pPr>
        <w:pStyle w:val="rrdsinglerule"/>
        <w:pBdr>
          <w:top w:val="single" w:sz="6" w:space="0" w:color="0075C9"/>
        </w:pBdr>
        <w:spacing w:before="480"/>
        <w:rPr>
          <w:sz w:val="24"/>
          <w:szCs w:val="24"/>
        </w:rPr>
      </w:pPr>
      <w:r>
        <w:t> </w:t>
      </w:r>
    </w:p>
    <w:p w14:paraId="0418AA32" w14:textId="77777777" w:rsidR="00D246A9" w:rsidRDefault="00D246A9" w:rsidP="00B4165A">
      <w:pPr>
        <w:pStyle w:val="Heading3"/>
      </w:pPr>
      <w:bookmarkStart w:id="1" w:name="toc356108_2"/>
      <w:bookmarkEnd w:id="1"/>
      <w:r>
        <w:t xml:space="preserve">Board of Directors Oversight Roles </w:t>
      </w:r>
    </w:p>
    <w:p w14:paraId="4145FB0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elect our Board to serve their long-term interests and to oversee management. Our Board and its committees work closely with management to provide oversight, review, and counsel related to long-term </w:t>
      </w:r>
      <w:proofErr w:type="gramStart"/>
      <w:r>
        <w:rPr>
          <w:rFonts w:ascii="Arial" w:hAnsi="Arial" w:cs="Arial"/>
          <w:sz w:val="18"/>
          <w:szCs w:val="18"/>
        </w:rPr>
        <w:t>strategy</w:t>
      </w:r>
      <w:proofErr w:type="gramEnd"/>
      <w:r>
        <w:rPr>
          <w:rFonts w:ascii="Arial" w:hAnsi="Arial" w:cs="Arial"/>
          <w:sz w:val="18"/>
          <w:szCs w:val="18"/>
        </w:rPr>
        <w:t xml:space="preserve">, risks and opportunities, and feedback from shareholders. Our Board works with management to determine our mission and long-term strategy. It also oversees business affairs, integrity, risk management, CEO succession planning, and performs the annual CEO evaluation. Our Board looks to the expertise of its committees to provide strategic oversight in their areas of focus. Significant oversight areas are provided below. </w:t>
      </w:r>
    </w:p>
    <w:p w14:paraId="34BD3F73" w14:textId="77777777" w:rsidR="00D246A9" w:rsidRDefault="00D246A9" w:rsidP="00224BEE">
      <w:pPr>
        <w:pStyle w:val="Heading4"/>
      </w:pPr>
      <w:r>
        <w:t xml:space="preserve">Strategy </w:t>
      </w:r>
    </w:p>
    <w:p w14:paraId="5B37DFD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Led by our CEO, senior management develops and executes our business strategy. They manage our operations and work to model our desired culture, create innovative products, establish accountability, and control risk. Our CEO and senior management also align our structure, operations, people, policies, and compliance efforts to our mission and strategy. </w:t>
      </w:r>
    </w:p>
    <w:p w14:paraId="099221E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lastRenderedPageBreak/>
        <w:t xml:space="preserve">Overseeing management’s development and execution of the Company’s strategy is one of our Board’s primary responsibilities. The Board works closely with senior management to respond to a dynamic business environment. Management benefits from the insights and perspectives of a diverse mix of directors with complementary qualifications, expertise, and attributes. Senior management and other leaders from across the Company provide business and strategy updates to our Board through regular strategy-focused meetings. At meetings throughout the year, the Board also assesses the strategic alignment of the Company’s budget and capital plan, business initiatives, and its strategic acquisition and integration process. For major initiatives, such as our approach to AI, the Board engages with management on strategic vision, investments, partnerships, capital requirements, and risks. For large acquisitions such as Activision Blizzard, GitHub, LinkedIn, and Nuance Communications, the Board engages management on a broad range of considerations, such as due diligence findings, valuation, and integration planning. </w:t>
      </w:r>
    </w:p>
    <w:p w14:paraId="462A7D1E" w14:textId="77777777" w:rsidR="00D246A9" w:rsidRPr="00B4165A" w:rsidRDefault="00D246A9" w:rsidP="00B4165A">
      <w:pPr>
        <w:pStyle w:val="Heading5"/>
      </w:pPr>
      <w:r w:rsidRPr="00B4165A">
        <w:t xml:space="preserve">Risk Oversight </w:t>
      </w:r>
    </w:p>
    <w:p w14:paraId="670ED391" w14:textId="77777777" w:rsidR="00D246A9" w:rsidRDefault="00D246A9">
      <w:pPr>
        <w:pStyle w:val="NormalWeb"/>
        <w:keepNext/>
        <w:spacing w:before="120" w:beforeAutospacing="0" w:after="0" w:afterAutospacing="0"/>
        <w:jc w:val="center"/>
        <w:rPr>
          <w:rFonts w:ascii="Arial" w:hAnsi="Arial" w:cs="Arial"/>
          <w:sz w:val="20"/>
          <w:szCs w:val="20"/>
        </w:rPr>
      </w:pPr>
      <w:r>
        <w:rPr>
          <w:rFonts w:ascii="Arial" w:hAnsi="Arial" w:cs="Arial"/>
          <w:b/>
          <w:bCs/>
          <w:sz w:val="20"/>
          <w:szCs w:val="20"/>
        </w:rPr>
        <w:t xml:space="preserve">The Board of Directors </w:t>
      </w:r>
    </w:p>
    <w:p w14:paraId="3ED7628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Effective risk management is critical to Microsoft’s ability to achieve its mission. The Board exercises direct oversight of strategic risks to the Company and other risk areas not delegated to one of the Board’s committees. For example, the Board maintains direct oversight over cybersecurity risk. The Board receives and provides feedback on regular updates from management regarding cybersecurity governance processes, the status of projects to strengthen internal cybersecurity, security features of the products and services we provide our customers, and the results of security breach simulations. The Board also discusses recent incidents throughout the industry and the emerging threat landscape. </w:t>
      </w:r>
    </w:p>
    <w:p w14:paraId="67ECA53E" w14:textId="77777777" w:rsidR="00D246A9" w:rsidRDefault="00D246A9">
      <w:pPr>
        <w:pStyle w:val="NormalWeb"/>
        <w:spacing w:before="90" w:beforeAutospacing="0" w:after="0" w:afterAutospacing="0"/>
        <w:rPr>
          <w:sz w:val="2"/>
          <w:szCs w:val="2"/>
        </w:rPr>
      </w:pPr>
      <w:r>
        <w:rPr>
          <w:sz w:val="2"/>
          <w:szCs w:val="2"/>
        </w:rPr>
        <w:t> </w:t>
      </w:r>
    </w:p>
    <w:p w14:paraId="7C8C3C8C"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The committees are charged with specific areas of risk oversight, summarized below, and regularly report back to the full Board. </w:t>
      </w:r>
    </w:p>
    <w:p w14:paraId="2AFBBED2" w14:textId="77777777" w:rsidR="00D246A9" w:rsidRDefault="00D246A9">
      <w:pPr>
        <w:pStyle w:val="NormalWeb"/>
        <w:keepNext/>
        <w:spacing w:before="0" w:beforeAutospacing="0" w:after="0" w:afterAutospacing="0"/>
        <w:rPr>
          <w:sz w:val="16"/>
          <w:szCs w:val="16"/>
        </w:rPr>
      </w:pPr>
      <w:r>
        <w:rPr>
          <w:sz w:val="16"/>
          <w:szCs w:val="16"/>
        </w:rPr>
        <w:t> </w:t>
      </w:r>
    </w:p>
    <w:tbl>
      <w:tblPr>
        <w:tblW w:w="5000" w:type="pct"/>
        <w:jc w:val="center"/>
        <w:tblCellMar>
          <w:left w:w="0" w:type="dxa"/>
          <w:right w:w="0" w:type="dxa"/>
        </w:tblCellMar>
        <w:tblLook w:val="0600" w:firstRow="0" w:lastRow="0" w:firstColumn="0" w:lastColumn="0" w:noHBand="1" w:noVBand="1"/>
      </w:tblPr>
      <w:tblGrid>
        <w:gridCol w:w="2700"/>
        <w:gridCol w:w="2700"/>
        <w:gridCol w:w="2700"/>
        <w:gridCol w:w="2700"/>
      </w:tblGrid>
      <w:tr w:rsidR="00225CC0" w14:paraId="6392A305" w14:textId="77777777" w:rsidTr="006B044C">
        <w:trPr>
          <w:cantSplit/>
          <w:trHeight w:val="848"/>
          <w:jc w:val="center"/>
        </w:trPr>
        <w:tc>
          <w:tcPr>
            <w:tcW w:w="1250" w:type="pct"/>
            <w:tcBorders>
              <w:bottom w:val="nil"/>
            </w:tcBorders>
            <w:hideMark/>
          </w:tcPr>
          <w:p w14:paraId="18FC6D63" w14:textId="2D58B46C" w:rsidR="00225CC0" w:rsidRDefault="00225CC0" w:rsidP="006B044C">
            <w:pPr>
              <w:pStyle w:val="NormalWeb"/>
              <w:spacing w:before="240" w:beforeAutospacing="0" w:after="0" w:afterAutospacing="0"/>
              <w:jc w:val="center"/>
              <w:rPr>
                <w:rFonts w:ascii="Arial" w:hAnsi="Arial" w:cs="Arial"/>
                <w:sz w:val="20"/>
                <w:szCs w:val="20"/>
              </w:rPr>
            </w:pPr>
            <w:r>
              <w:rPr>
                <w:rFonts w:ascii="Arial" w:hAnsi="Arial" w:cs="Arial"/>
                <w:b/>
                <w:bCs/>
                <w:sz w:val="20"/>
                <w:szCs w:val="20"/>
              </w:rPr>
              <w:t>Audit</w:t>
            </w:r>
            <w:r>
              <w:rPr>
                <w:rFonts w:ascii="Arial" w:hAnsi="Arial" w:cs="Arial"/>
                <w:b/>
                <w:bCs/>
                <w:sz w:val="20"/>
                <w:szCs w:val="20"/>
              </w:rPr>
              <w:br/>
              <w:t>Committee</w:t>
            </w:r>
          </w:p>
        </w:tc>
        <w:tc>
          <w:tcPr>
            <w:tcW w:w="1250" w:type="pct"/>
            <w:tcBorders>
              <w:bottom w:val="nil"/>
            </w:tcBorders>
            <w:hideMark/>
          </w:tcPr>
          <w:p w14:paraId="60EA5514" w14:textId="249884D0" w:rsidR="00225CC0" w:rsidRDefault="00225CC0" w:rsidP="006B044C">
            <w:pPr>
              <w:pStyle w:val="NormalWeb"/>
              <w:spacing w:before="240" w:beforeAutospacing="0" w:after="0" w:afterAutospacing="0"/>
              <w:jc w:val="center"/>
              <w:rPr>
                <w:rFonts w:ascii="Arial" w:hAnsi="Arial" w:cs="Arial"/>
                <w:sz w:val="20"/>
                <w:szCs w:val="20"/>
              </w:rPr>
            </w:pPr>
            <w:r>
              <w:rPr>
                <w:rFonts w:ascii="Arial" w:hAnsi="Arial" w:cs="Arial"/>
                <w:b/>
                <w:bCs/>
                <w:sz w:val="20"/>
                <w:szCs w:val="20"/>
              </w:rPr>
              <w:t>Compensation</w:t>
            </w:r>
            <w:r>
              <w:rPr>
                <w:rFonts w:ascii="Arial" w:hAnsi="Arial" w:cs="Arial"/>
                <w:b/>
                <w:bCs/>
                <w:sz w:val="20"/>
                <w:szCs w:val="20"/>
              </w:rPr>
              <w:br/>
              <w:t>Committee</w:t>
            </w:r>
          </w:p>
        </w:tc>
        <w:tc>
          <w:tcPr>
            <w:tcW w:w="1250" w:type="pct"/>
            <w:tcBorders>
              <w:bottom w:val="nil"/>
            </w:tcBorders>
            <w:hideMark/>
          </w:tcPr>
          <w:p w14:paraId="73E48D13" w14:textId="77777777" w:rsidR="00225CC0" w:rsidRPr="00306F7C" w:rsidRDefault="00225CC0">
            <w:pPr>
              <w:pStyle w:val="NormalWeb"/>
              <w:spacing w:before="0" w:beforeAutospacing="0" w:after="0" w:afterAutospacing="0"/>
              <w:jc w:val="center"/>
              <w:rPr>
                <w:rFonts w:ascii="Arial" w:hAnsi="Arial" w:cs="Arial"/>
                <w:sz w:val="20"/>
                <w:szCs w:val="20"/>
              </w:rPr>
            </w:pPr>
            <w:r>
              <w:rPr>
                <w:rFonts w:ascii="Arial" w:hAnsi="Arial" w:cs="Arial"/>
                <w:b/>
                <w:bCs/>
                <w:sz w:val="20"/>
                <w:szCs w:val="20"/>
              </w:rPr>
              <w:t>Environmental, Social,</w:t>
            </w:r>
          </w:p>
          <w:p w14:paraId="22051015" w14:textId="77777777" w:rsidR="00225CC0" w:rsidRDefault="00225CC0">
            <w:pPr>
              <w:pStyle w:val="NormalWeb"/>
              <w:spacing w:before="0" w:beforeAutospacing="0" w:after="0" w:afterAutospacing="0"/>
              <w:jc w:val="center"/>
              <w:rPr>
                <w:rFonts w:ascii="Arial" w:hAnsi="Arial" w:cs="Arial"/>
                <w:sz w:val="20"/>
                <w:szCs w:val="20"/>
              </w:rPr>
            </w:pPr>
            <w:r>
              <w:rPr>
                <w:rFonts w:ascii="Arial" w:hAnsi="Arial" w:cs="Arial"/>
                <w:b/>
                <w:bCs/>
                <w:sz w:val="20"/>
                <w:szCs w:val="20"/>
              </w:rPr>
              <w:t>and Public Policy</w:t>
            </w:r>
          </w:p>
          <w:p w14:paraId="3746CAF9" w14:textId="77777777" w:rsidR="00225CC0" w:rsidRDefault="00225CC0">
            <w:pPr>
              <w:pStyle w:val="NormalWeb"/>
              <w:spacing w:before="0" w:beforeAutospacing="0" w:after="0" w:afterAutospacing="0"/>
              <w:jc w:val="center"/>
              <w:rPr>
                <w:rFonts w:ascii="Arial" w:hAnsi="Arial" w:cs="Arial"/>
                <w:sz w:val="20"/>
                <w:szCs w:val="20"/>
              </w:rPr>
            </w:pPr>
            <w:r>
              <w:rPr>
                <w:rFonts w:ascii="Arial" w:hAnsi="Arial" w:cs="Arial"/>
                <w:b/>
                <w:bCs/>
                <w:sz w:val="20"/>
                <w:szCs w:val="20"/>
              </w:rPr>
              <w:t>Committee</w:t>
            </w:r>
          </w:p>
          <w:p w14:paraId="31E58807" w14:textId="77777777" w:rsidR="00225CC0" w:rsidRDefault="00225CC0">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250" w:type="pct"/>
            <w:tcBorders>
              <w:bottom w:val="nil"/>
            </w:tcBorders>
            <w:hideMark/>
          </w:tcPr>
          <w:p w14:paraId="1BEA7D88" w14:textId="77777777" w:rsidR="00225CC0" w:rsidRPr="00306F7C" w:rsidRDefault="00225CC0">
            <w:pPr>
              <w:pStyle w:val="NormalWeb"/>
              <w:spacing w:before="0" w:beforeAutospacing="0" w:after="0" w:afterAutospacing="0"/>
              <w:jc w:val="center"/>
              <w:rPr>
                <w:rFonts w:ascii="Arial" w:hAnsi="Arial" w:cs="Arial"/>
                <w:sz w:val="20"/>
                <w:szCs w:val="20"/>
              </w:rPr>
            </w:pPr>
            <w:r>
              <w:rPr>
                <w:rFonts w:ascii="Arial" w:hAnsi="Arial" w:cs="Arial"/>
                <w:b/>
                <w:bCs/>
                <w:sz w:val="20"/>
                <w:szCs w:val="20"/>
              </w:rPr>
              <w:t>Governance and</w:t>
            </w:r>
          </w:p>
          <w:p w14:paraId="0DDE78B7" w14:textId="77777777" w:rsidR="00225CC0" w:rsidRDefault="00225CC0">
            <w:pPr>
              <w:pStyle w:val="NormalWeb"/>
              <w:spacing w:before="0" w:beforeAutospacing="0" w:after="0" w:afterAutospacing="0"/>
              <w:jc w:val="center"/>
              <w:rPr>
                <w:rFonts w:ascii="Arial" w:hAnsi="Arial" w:cs="Arial"/>
                <w:sz w:val="20"/>
                <w:szCs w:val="20"/>
              </w:rPr>
            </w:pPr>
            <w:r>
              <w:rPr>
                <w:rFonts w:ascii="Arial" w:hAnsi="Arial" w:cs="Arial"/>
                <w:b/>
                <w:bCs/>
                <w:sz w:val="20"/>
                <w:szCs w:val="20"/>
              </w:rPr>
              <w:t>Nominating</w:t>
            </w:r>
          </w:p>
          <w:p w14:paraId="2AC9C1B3" w14:textId="77777777" w:rsidR="00225CC0" w:rsidRDefault="00225CC0">
            <w:pPr>
              <w:pStyle w:val="NormalWeb"/>
              <w:spacing w:before="0" w:beforeAutospacing="0" w:after="0" w:afterAutospacing="0"/>
              <w:jc w:val="center"/>
              <w:rPr>
                <w:rFonts w:ascii="Arial" w:hAnsi="Arial" w:cs="Arial"/>
                <w:sz w:val="20"/>
                <w:szCs w:val="20"/>
              </w:rPr>
            </w:pPr>
            <w:r>
              <w:rPr>
                <w:rFonts w:ascii="Arial" w:hAnsi="Arial" w:cs="Arial"/>
                <w:b/>
                <w:bCs/>
                <w:sz w:val="20"/>
                <w:szCs w:val="20"/>
              </w:rPr>
              <w:t>Committee</w:t>
            </w:r>
          </w:p>
          <w:p w14:paraId="1918B2DE" w14:textId="77777777" w:rsidR="00225CC0" w:rsidRDefault="00225CC0">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225CC0" w14:paraId="0C604EED" w14:textId="77777777" w:rsidTr="006B044C">
        <w:trPr>
          <w:cantSplit/>
          <w:jc w:val="center"/>
        </w:trPr>
        <w:tc>
          <w:tcPr>
            <w:tcW w:w="1250" w:type="pct"/>
            <w:hideMark/>
          </w:tcPr>
          <w:p w14:paraId="5051C1F3" w14:textId="77777777" w:rsidR="006B044C" w:rsidRPr="006B044C" w:rsidRDefault="006B044C">
            <w:pPr>
              <w:pStyle w:val="NormalWeb"/>
              <w:spacing w:before="0" w:beforeAutospacing="0" w:after="0" w:afterAutospacing="0"/>
              <w:rPr>
                <w:rFonts w:ascii="Arial" w:hAnsi="Arial" w:cs="Arial"/>
                <w:sz w:val="2"/>
                <w:szCs w:val="2"/>
              </w:rPr>
            </w:pPr>
            <w:r w:rsidRPr="006B044C">
              <w:rPr>
                <w:rFonts w:ascii="Arial" w:hAnsi="Arial" w:cs="Arial"/>
                <w:color w:val="FFFFFF" w:themeColor="background1"/>
                <w:sz w:val="2"/>
                <w:szCs w:val="2"/>
              </w:rPr>
              <w:t>The Audit Committee</w:t>
            </w:r>
            <w:r w:rsidRPr="006B044C">
              <w:rPr>
                <w:rFonts w:ascii="Arial" w:hAnsi="Arial" w:cs="Arial"/>
                <w:sz w:val="2"/>
                <w:szCs w:val="2"/>
              </w:rPr>
              <w:t xml:space="preserve"> </w:t>
            </w:r>
          </w:p>
          <w:p w14:paraId="15C13297" w14:textId="22130FCC" w:rsidR="00225CC0" w:rsidRDefault="00225CC0">
            <w:pPr>
              <w:pStyle w:val="NormalWeb"/>
              <w:spacing w:before="0" w:beforeAutospacing="0" w:after="0" w:afterAutospacing="0"/>
              <w:rPr>
                <w:rFonts w:ascii="Arial" w:hAnsi="Arial" w:cs="Arial"/>
                <w:sz w:val="18"/>
                <w:szCs w:val="18"/>
              </w:rPr>
            </w:pPr>
            <w:r>
              <w:rPr>
                <w:rFonts w:ascii="Arial" w:hAnsi="Arial" w:cs="Arial"/>
                <w:sz w:val="18"/>
                <w:szCs w:val="18"/>
              </w:rPr>
              <w:t>Oversees Microsoft’s processes to manage risk. Oversees the Company’s financial statements; compliance with legal and regulatory requirements and corporate policies and controls, including controls over financial reporting, computerized information systems and security; and the independent auditor and internal audit function.</w:t>
            </w:r>
          </w:p>
          <w:p w14:paraId="2FBE8108" w14:textId="77777777" w:rsidR="00225CC0" w:rsidRDefault="00225CC0">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250" w:type="pct"/>
            <w:hideMark/>
          </w:tcPr>
          <w:p w14:paraId="4F88DA19" w14:textId="59EA9F96" w:rsidR="006B044C" w:rsidRPr="006B044C" w:rsidRDefault="006B044C" w:rsidP="00225CC0">
            <w:pPr>
              <w:ind w:left="144"/>
              <w:rPr>
                <w:rFonts w:ascii="Arial" w:hAnsi="Arial" w:cs="Arial"/>
                <w:sz w:val="2"/>
                <w:szCs w:val="2"/>
              </w:rPr>
            </w:pPr>
            <w:r w:rsidRPr="006B044C">
              <w:rPr>
                <w:rFonts w:ascii="Arial" w:hAnsi="Arial" w:cs="Arial"/>
                <w:color w:val="FFFFFF" w:themeColor="background1"/>
                <w:sz w:val="2"/>
                <w:szCs w:val="2"/>
              </w:rPr>
              <w:t>The Compensation Committee</w:t>
            </w:r>
          </w:p>
          <w:p w14:paraId="2A626290" w14:textId="248CFB13" w:rsidR="00225CC0" w:rsidRDefault="00225CC0" w:rsidP="00225CC0">
            <w:pPr>
              <w:ind w:left="144"/>
              <w:rPr>
                <w:rFonts w:ascii="Arial" w:hAnsi="Arial" w:cs="Arial"/>
                <w:sz w:val="18"/>
                <w:szCs w:val="18"/>
              </w:rPr>
            </w:pPr>
            <w:r>
              <w:rPr>
                <w:rFonts w:ascii="Arial" w:hAnsi="Arial" w:cs="Arial"/>
                <w:sz w:val="18"/>
                <w:szCs w:val="18"/>
              </w:rPr>
              <w:t>Oversees the Company’s compensation and benefits programs; human capital management and diversity and inclusion principles and programs; senior management succession planning and compensation; and advises the Board on CEO compensation.</w:t>
            </w:r>
          </w:p>
        </w:tc>
        <w:tc>
          <w:tcPr>
            <w:tcW w:w="1250" w:type="pct"/>
            <w:hideMark/>
          </w:tcPr>
          <w:p w14:paraId="458F4EBB" w14:textId="5E40F233" w:rsidR="006B044C" w:rsidRPr="006B044C" w:rsidRDefault="006B044C" w:rsidP="00225CC0">
            <w:pPr>
              <w:ind w:left="144"/>
              <w:rPr>
                <w:rFonts w:ascii="Arial" w:hAnsi="Arial" w:cs="Arial"/>
                <w:sz w:val="2"/>
                <w:szCs w:val="2"/>
              </w:rPr>
            </w:pPr>
            <w:r w:rsidRPr="006B044C">
              <w:rPr>
                <w:rFonts w:ascii="Arial" w:hAnsi="Arial" w:cs="Arial"/>
                <w:color w:val="FFFFFF" w:themeColor="background1"/>
                <w:sz w:val="2"/>
                <w:szCs w:val="2"/>
              </w:rPr>
              <w:t>The Environmental, social, and public policy committee</w:t>
            </w:r>
          </w:p>
          <w:p w14:paraId="4926741B" w14:textId="3AC22842" w:rsidR="00225CC0" w:rsidRDefault="00225CC0" w:rsidP="00225CC0">
            <w:pPr>
              <w:ind w:left="144"/>
              <w:rPr>
                <w:rFonts w:ascii="Arial" w:hAnsi="Arial" w:cs="Arial"/>
                <w:sz w:val="18"/>
                <w:szCs w:val="18"/>
              </w:rPr>
            </w:pPr>
            <w:r>
              <w:rPr>
                <w:rFonts w:ascii="Arial" w:hAnsi="Arial" w:cs="Arial"/>
                <w:sz w:val="18"/>
                <w:szCs w:val="18"/>
              </w:rPr>
              <w:t>Oversees key non-financial regulatory risks; management policies and programs relating to key environmental and social matters, including climate change and environmental sustainability, competition and antitrust, privacy, trade, digital safety, responsible AI, accessibility, human rights, and responsible sourcing; and reviews government relations activities and public policy agenda.</w:t>
            </w:r>
          </w:p>
        </w:tc>
        <w:tc>
          <w:tcPr>
            <w:tcW w:w="1250" w:type="pct"/>
            <w:hideMark/>
          </w:tcPr>
          <w:p w14:paraId="540A524A" w14:textId="556E81E1" w:rsidR="006B044C" w:rsidRPr="006B044C" w:rsidRDefault="006B044C" w:rsidP="00225CC0">
            <w:pPr>
              <w:ind w:left="144"/>
              <w:rPr>
                <w:rFonts w:ascii="Arial" w:hAnsi="Arial" w:cs="Arial"/>
                <w:color w:val="FFFFFF" w:themeColor="background1"/>
                <w:sz w:val="2"/>
                <w:szCs w:val="2"/>
              </w:rPr>
            </w:pPr>
            <w:r w:rsidRPr="006B044C">
              <w:rPr>
                <w:rFonts w:ascii="Arial" w:hAnsi="Arial" w:cs="Arial"/>
                <w:color w:val="FFFFFF" w:themeColor="background1"/>
                <w:sz w:val="2"/>
                <w:szCs w:val="2"/>
              </w:rPr>
              <w:t>The Governance and Nominating Committee</w:t>
            </w:r>
          </w:p>
          <w:p w14:paraId="3E743D4B" w14:textId="1D4AA78B" w:rsidR="00225CC0" w:rsidRDefault="00225CC0" w:rsidP="00225CC0">
            <w:pPr>
              <w:ind w:left="144"/>
              <w:rPr>
                <w:rFonts w:ascii="Arial" w:hAnsi="Arial" w:cs="Arial"/>
                <w:sz w:val="18"/>
                <w:szCs w:val="18"/>
              </w:rPr>
            </w:pPr>
            <w:r>
              <w:rPr>
                <w:rFonts w:ascii="Arial" w:hAnsi="Arial" w:cs="Arial"/>
                <w:sz w:val="18"/>
                <w:szCs w:val="18"/>
              </w:rPr>
              <w:t>Oversees director selection and succession planning; Board effectiveness and independence, committee functions and charters; adherence to our corporate governance framework; and other corporate governance matters.</w:t>
            </w:r>
          </w:p>
        </w:tc>
      </w:tr>
      <w:tr w:rsidR="00225CC0" w14:paraId="10CEBD5A" w14:textId="77777777" w:rsidTr="006B044C">
        <w:trPr>
          <w:cantSplit/>
          <w:jc w:val="center"/>
        </w:trPr>
        <w:tc>
          <w:tcPr>
            <w:tcW w:w="1250" w:type="pct"/>
            <w:tcMar>
              <w:top w:w="0" w:type="dxa"/>
              <w:left w:w="144" w:type="dxa"/>
              <w:bottom w:w="0" w:type="dxa"/>
              <w:right w:w="0" w:type="dxa"/>
            </w:tcMar>
            <w:hideMark/>
          </w:tcPr>
          <w:p w14:paraId="65C0840E" w14:textId="77777777" w:rsidR="00225CC0" w:rsidRPr="00306F7C" w:rsidRDefault="00225CC0">
            <w:pPr>
              <w:pStyle w:val="la2"/>
              <w:rPr>
                <w:rFonts w:ascii="Arial" w:hAnsi="Arial" w:cs="Arial"/>
                <w:sz w:val="18"/>
                <w:szCs w:val="18"/>
              </w:rPr>
            </w:pPr>
            <w:r>
              <w:rPr>
                <w:rFonts w:ascii="Arial" w:hAnsi="Arial" w:cs="Arial"/>
                <w:sz w:val="18"/>
                <w:szCs w:val="18"/>
              </w:rPr>
              <w:t> </w:t>
            </w:r>
          </w:p>
        </w:tc>
        <w:tc>
          <w:tcPr>
            <w:tcW w:w="1250" w:type="pct"/>
            <w:tcMar>
              <w:top w:w="0" w:type="dxa"/>
              <w:left w:w="144" w:type="dxa"/>
              <w:bottom w:w="0" w:type="dxa"/>
              <w:right w:w="0" w:type="dxa"/>
            </w:tcMar>
            <w:hideMark/>
          </w:tcPr>
          <w:p w14:paraId="32D80DB9" w14:textId="77777777" w:rsidR="00225CC0" w:rsidRDefault="00225CC0">
            <w:pPr>
              <w:pStyle w:val="la2"/>
              <w:rPr>
                <w:rFonts w:ascii="Arial" w:hAnsi="Arial" w:cs="Arial"/>
                <w:sz w:val="18"/>
                <w:szCs w:val="18"/>
              </w:rPr>
            </w:pPr>
            <w:r>
              <w:rPr>
                <w:rFonts w:ascii="Arial" w:hAnsi="Arial" w:cs="Arial"/>
                <w:sz w:val="18"/>
                <w:szCs w:val="18"/>
              </w:rPr>
              <w:t> </w:t>
            </w:r>
          </w:p>
        </w:tc>
        <w:tc>
          <w:tcPr>
            <w:tcW w:w="1250" w:type="pct"/>
            <w:tcMar>
              <w:top w:w="0" w:type="dxa"/>
              <w:left w:w="144" w:type="dxa"/>
              <w:bottom w:w="0" w:type="dxa"/>
              <w:right w:w="0" w:type="dxa"/>
            </w:tcMar>
            <w:hideMark/>
          </w:tcPr>
          <w:p w14:paraId="30BBF7FC" w14:textId="77777777" w:rsidR="00225CC0" w:rsidRDefault="00225CC0">
            <w:pPr>
              <w:pStyle w:val="la2"/>
              <w:rPr>
                <w:rFonts w:ascii="Arial" w:hAnsi="Arial" w:cs="Arial"/>
                <w:sz w:val="18"/>
                <w:szCs w:val="18"/>
              </w:rPr>
            </w:pPr>
            <w:r>
              <w:rPr>
                <w:rFonts w:ascii="Arial" w:hAnsi="Arial" w:cs="Arial"/>
                <w:sz w:val="18"/>
                <w:szCs w:val="18"/>
              </w:rPr>
              <w:t> </w:t>
            </w:r>
          </w:p>
        </w:tc>
        <w:tc>
          <w:tcPr>
            <w:tcW w:w="1250" w:type="pct"/>
            <w:tcMar>
              <w:top w:w="0" w:type="dxa"/>
              <w:left w:w="144" w:type="dxa"/>
              <w:bottom w:w="0" w:type="dxa"/>
              <w:right w:w="0" w:type="dxa"/>
            </w:tcMar>
            <w:hideMark/>
          </w:tcPr>
          <w:p w14:paraId="65B94D13" w14:textId="77777777" w:rsidR="00225CC0" w:rsidRDefault="00225CC0">
            <w:pPr>
              <w:pStyle w:val="la2"/>
              <w:rPr>
                <w:rFonts w:ascii="Arial" w:hAnsi="Arial" w:cs="Arial"/>
                <w:sz w:val="18"/>
                <w:szCs w:val="18"/>
              </w:rPr>
            </w:pPr>
            <w:r>
              <w:rPr>
                <w:rFonts w:ascii="Arial" w:hAnsi="Arial" w:cs="Arial"/>
                <w:sz w:val="18"/>
                <w:szCs w:val="18"/>
              </w:rPr>
              <w:t> </w:t>
            </w:r>
          </w:p>
        </w:tc>
      </w:tr>
    </w:tbl>
    <w:p w14:paraId="6642EB4D" w14:textId="77777777" w:rsidR="00D246A9" w:rsidRPr="00306F7C" w:rsidRDefault="00D246A9" w:rsidP="00212B0B">
      <w:pPr>
        <w:pStyle w:val="Heading5"/>
      </w:pPr>
      <w:r>
        <w:t xml:space="preserve">Company Management </w:t>
      </w:r>
    </w:p>
    <w:p w14:paraId="3049DF5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in consultation with each of its committees, oversees Company management in exercising its </w:t>
      </w:r>
      <w:proofErr w:type="gramStart"/>
      <w:r>
        <w:rPr>
          <w:rFonts w:ascii="Arial" w:hAnsi="Arial" w:cs="Arial"/>
          <w:sz w:val="18"/>
          <w:szCs w:val="18"/>
        </w:rPr>
        <w:t>responsibility</w:t>
      </w:r>
      <w:proofErr w:type="gramEnd"/>
      <w:r>
        <w:rPr>
          <w:rFonts w:ascii="Arial" w:hAnsi="Arial" w:cs="Arial"/>
          <w:sz w:val="18"/>
          <w:szCs w:val="18"/>
        </w:rPr>
        <w:t xml:space="preserve"> managing risk. The Board relies upon senior management </w:t>
      </w:r>
      <w:proofErr w:type="gramStart"/>
      <w:r>
        <w:rPr>
          <w:rFonts w:ascii="Arial" w:hAnsi="Arial" w:cs="Arial"/>
          <w:sz w:val="18"/>
          <w:szCs w:val="18"/>
        </w:rPr>
        <w:t>to supervise</w:t>
      </w:r>
      <w:proofErr w:type="gramEnd"/>
      <w:r>
        <w:rPr>
          <w:rFonts w:ascii="Arial" w:hAnsi="Arial" w:cs="Arial"/>
          <w:sz w:val="18"/>
          <w:szCs w:val="18"/>
        </w:rPr>
        <w:t xml:space="preserve"> risk management activities within the Company. Senior management is responsible for developing a continuously improving culture of risk-aware practices to identify and manage the appropriate level of risk in pursuit of our business objectives. On a regular basis, the Board and its committees engage with our senior management, our chief risk executive and chief compliance officer, and other members of management on risk as part of broad strategic and operational discussions which encompass interrelated risks, as well as on a risk-by-risk basis. Senior management is supported in these efforts through the operation of our enterprise risk management program. The program involves the input of management, the enterprise risk organization, a risk management community within our business teams, and subject matter experts from across the Company, and drives the identification, prioritization, and mitigation of the Company’s most significant risks. In addition, risk management is supported by our compliance organization, investigatory teams, internal audit and external audit reviews, and our legal department. Microsoft has also established robust standards of business conduct that apply to all employees globally and provides numerous methods for employees to elevate risk concerns directly to management or through anonymous channels. </w:t>
      </w:r>
    </w:p>
    <w:p w14:paraId="50D5A3E8" w14:textId="77777777" w:rsidR="00224BEE" w:rsidRDefault="00224BEE">
      <w:pPr>
        <w:rPr>
          <w:rFonts w:ascii="Arial" w:hAnsi="Arial" w:cs="Arial"/>
          <w:b/>
          <w:bCs/>
          <w:szCs w:val="24"/>
        </w:rPr>
      </w:pPr>
      <w:r>
        <w:br w:type="page"/>
      </w:r>
    </w:p>
    <w:p w14:paraId="1D0AA5F7" w14:textId="453657DD" w:rsidR="00D246A9" w:rsidRDefault="00D246A9" w:rsidP="00224BEE">
      <w:pPr>
        <w:pStyle w:val="Heading4"/>
      </w:pPr>
      <w:r>
        <w:lastRenderedPageBreak/>
        <w:t xml:space="preserve">Culture and Workplace </w:t>
      </w:r>
    </w:p>
    <w:p w14:paraId="3C8DAA8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culture isn’t what we talk or write about; it’s what we live every day. Our senior management holds itself accountable for modeling the culture we strive for. We focus on creating a respectful, rewarding, diverse, and inclusive work environment where people can thrive, where they can do their best work, where they can proudly be their authentic selves, guided by our values, and where they know their needs can be met. Key to this environment is cultivating a growth mindset, where our workforce is focused on learning, listening, and growing. </w:t>
      </w:r>
    </w:p>
    <w:p w14:paraId="594E9219" w14:textId="004473E0" w:rsidR="00D246A9" w:rsidRPr="00224BEE" w:rsidRDefault="00D246A9" w:rsidP="00224BEE">
      <w:pPr>
        <w:pStyle w:val="NormalWeb"/>
        <w:spacing w:before="120" w:beforeAutospacing="0" w:after="0" w:afterAutospacing="0"/>
        <w:rPr>
          <w:rFonts w:ascii="Arial" w:hAnsi="Arial" w:cs="Arial"/>
          <w:sz w:val="18"/>
          <w:szCs w:val="18"/>
        </w:rPr>
      </w:pPr>
      <w:r>
        <w:rPr>
          <w:rFonts w:ascii="Arial" w:hAnsi="Arial" w:cs="Arial"/>
          <w:sz w:val="18"/>
          <w:szCs w:val="18"/>
        </w:rPr>
        <w:t xml:space="preserve">Our employee listening systems enable us to gather feedback directly from our workforce to inform our programs and employee needs globally. Employees participate in our Employee Signals surveys, which cover a variety of topics such as thriving, inclusion, team culture, wellbeing, and learning and development. We also collect Daily Signals employee survey responses, giving us real-time insights into ways we can support our employees. In addition to Employee Signals and Daily Signals surveys, we gain insights through onboarding, exit surveys, internal Viva Engage channels, employee Q&amp;A sessions, and our internal AskHR Service support. The Board and the Compensation Committee engage with senior management, including Human Resources executives, across a broad range of human capital management topics. Management prepares and reviews with the Board a variety of materials including culture, succession planning and development, compensation, benefits, employee recruiting and retention, and diversity and inclusion. Additionally, each year the Compensation and Audit Committees evaluate management’s annual assessment of risk related to our compensation policies and practices, including reviewing the work of management’s Sales Incentive Compensation Governance Committee. </w:t>
      </w:r>
    </w:p>
    <w:p w14:paraId="3647A2EC" w14:textId="77777777" w:rsidR="00D246A9" w:rsidRDefault="00D246A9" w:rsidP="00224BEE">
      <w:pPr>
        <w:pStyle w:val="Heading4"/>
      </w:pPr>
      <w:r>
        <w:t xml:space="preserve">Microsoft Board Review of Sexual Harassment and Gender Discrimination Policies </w:t>
      </w:r>
    </w:p>
    <w:p w14:paraId="75420967" w14:textId="3BBC9028"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early 2022, the Board initiated an independent review of the effectiveness of the Company’s sexual harassment and gender discrimination policies and practices. Recognizing the importance of these issues to employees, shareholders, and other stakeholders, the Board directed that a third-party assessment be conducted to address the full scope of an advisory shareholder resolution approved by shareholders at the 2021 Annual Meeting. Throughout 2022, the law firm </w:t>
      </w:r>
      <w:proofErr w:type="spellStart"/>
      <w:r>
        <w:rPr>
          <w:rFonts w:ascii="Arial" w:hAnsi="Arial" w:cs="Arial"/>
          <w:sz w:val="18"/>
          <w:szCs w:val="18"/>
        </w:rPr>
        <w:t>ArentFox</w:t>
      </w:r>
      <w:proofErr w:type="spellEnd"/>
      <w:r>
        <w:rPr>
          <w:rFonts w:ascii="Arial" w:hAnsi="Arial" w:cs="Arial"/>
          <w:sz w:val="18"/>
          <w:szCs w:val="18"/>
        </w:rPr>
        <w:t xml:space="preserve"> Schiff LLP has worked to review and assess the Company’s policies and procedures relating to sexual harassment and gender discrimination, including reviewing the Company’s internal documents, interviewing executives and employees, and benchmarking against best practices at other companies. </w:t>
      </w:r>
      <w:proofErr w:type="spellStart"/>
      <w:r>
        <w:rPr>
          <w:rFonts w:ascii="Arial" w:hAnsi="Arial" w:cs="Arial"/>
          <w:sz w:val="18"/>
          <w:szCs w:val="18"/>
        </w:rPr>
        <w:t>ArentFox</w:t>
      </w:r>
      <w:proofErr w:type="spellEnd"/>
      <w:r>
        <w:rPr>
          <w:rFonts w:ascii="Arial" w:hAnsi="Arial" w:cs="Arial"/>
          <w:sz w:val="18"/>
          <w:szCs w:val="18"/>
        </w:rPr>
        <w:t xml:space="preserve"> provided the Board </w:t>
      </w:r>
      <w:proofErr w:type="spellStart"/>
      <w:proofErr w:type="gramStart"/>
      <w:r>
        <w:rPr>
          <w:rFonts w:ascii="Arial" w:hAnsi="Arial" w:cs="Arial"/>
          <w:sz w:val="18"/>
          <w:szCs w:val="18"/>
        </w:rPr>
        <w:t>wi</w:t>
      </w:r>
      <w:proofErr w:type="spellEnd"/>
      <w:r w:rsidR="009673F6">
        <w:rPr>
          <w:rFonts w:ascii="Arial" w:hAnsi="Arial" w:cs="Arial"/>
          <w:sz w:val="18"/>
          <w:szCs w:val="18"/>
        </w:rPr>
        <w:t xml:space="preserve">   </w:t>
      </w:r>
      <w:proofErr w:type="spellStart"/>
      <w:r>
        <w:rPr>
          <w:rFonts w:ascii="Arial" w:hAnsi="Arial" w:cs="Arial"/>
          <w:sz w:val="18"/>
          <w:szCs w:val="18"/>
        </w:rPr>
        <w:t>th</w:t>
      </w:r>
      <w:proofErr w:type="spellEnd"/>
      <w:proofErr w:type="gramEnd"/>
      <w:r>
        <w:rPr>
          <w:rFonts w:ascii="Arial" w:hAnsi="Arial" w:cs="Arial"/>
          <w:sz w:val="18"/>
          <w:szCs w:val="18"/>
        </w:rPr>
        <w:t xml:space="preserve"> a report detailing its findings and recommendations and Microsoft’s management team has prepared an implementation plan that addresses all the recommendations in the </w:t>
      </w:r>
      <w:proofErr w:type="spellStart"/>
      <w:r>
        <w:rPr>
          <w:rFonts w:ascii="Arial" w:hAnsi="Arial" w:cs="Arial"/>
          <w:sz w:val="18"/>
          <w:szCs w:val="18"/>
        </w:rPr>
        <w:t>ArentFox</w:t>
      </w:r>
      <w:proofErr w:type="spellEnd"/>
      <w:r>
        <w:rPr>
          <w:rFonts w:ascii="Arial" w:hAnsi="Arial" w:cs="Arial"/>
          <w:sz w:val="18"/>
          <w:szCs w:val="18"/>
        </w:rPr>
        <w:t xml:space="preserve"> report. The Board thoroughly reviewed the </w:t>
      </w:r>
      <w:proofErr w:type="spellStart"/>
      <w:r>
        <w:rPr>
          <w:rFonts w:ascii="Arial" w:hAnsi="Arial" w:cs="Arial"/>
          <w:sz w:val="18"/>
          <w:szCs w:val="18"/>
        </w:rPr>
        <w:t>ArentFox</w:t>
      </w:r>
      <w:proofErr w:type="spellEnd"/>
      <w:r>
        <w:rPr>
          <w:rFonts w:ascii="Arial" w:hAnsi="Arial" w:cs="Arial"/>
          <w:sz w:val="18"/>
          <w:szCs w:val="18"/>
        </w:rPr>
        <w:t xml:space="preserve"> report and approved the specific actions in the implementation plan. Microsoft published a full transparency report from </w:t>
      </w:r>
      <w:proofErr w:type="spellStart"/>
      <w:r>
        <w:rPr>
          <w:rFonts w:ascii="Arial" w:hAnsi="Arial" w:cs="Arial"/>
          <w:sz w:val="18"/>
          <w:szCs w:val="18"/>
        </w:rPr>
        <w:t>ArentFox</w:t>
      </w:r>
      <w:proofErr w:type="spellEnd"/>
      <w:r>
        <w:rPr>
          <w:rFonts w:ascii="Arial" w:hAnsi="Arial" w:cs="Arial"/>
          <w:sz w:val="18"/>
          <w:szCs w:val="18"/>
        </w:rPr>
        <w:t xml:space="preserve"> containing their findings and recommendations and published Microsoft’s implementation plan. Microsoft has now fully implemented the report’s recommendations and board-approved implementation plan and begun annual reporting of workplace investigations data at </w:t>
      </w:r>
      <w:r>
        <w:rPr>
          <w:rFonts w:ascii="Arial" w:hAnsi="Arial" w:cs="Arial"/>
          <w:sz w:val="18"/>
          <w:szCs w:val="18"/>
          <w:u w:val="single"/>
        </w:rPr>
        <w:t>www.microsoft.com/transparency</w:t>
      </w:r>
      <w:r>
        <w:rPr>
          <w:rFonts w:ascii="Arial" w:hAnsi="Arial" w:cs="Arial"/>
          <w:sz w:val="18"/>
          <w:szCs w:val="18"/>
        </w:rPr>
        <w:t xml:space="preserve">. </w:t>
      </w:r>
    </w:p>
    <w:p w14:paraId="016FB42D" w14:textId="77777777" w:rsidR="00D246A9" w:rsidRDefault="00D246A9">
      <w:pPr>
        <w:pStyle w:val="rrdsinglerule"/>
        <w:pBdr>
          <w:top w:val="single" w:sz="6" w:space="0" w:color="0075C9"/>
        </w:pBdr>
        <w:spacing w:before="480"/>
        <w:rPr>
          <w:sz w:val="24"/>
          <w:szCs w:val="24"/>
        </w:rPr>
      </w:pPr>
      <w:r>
        <w:t xml:space="preserve">  </w:t>
      </w:r>
    </w:p>
    <w:p w14:paraId="355FCA49" w14:textId="77777777" w:rsidR="00D246A9" w:rsidRDefault="00D246A9" w:rsidP="00B4165A">
      <w:pPr>
        <w:pStyle w:val="Heading3"/>
      </w:pPr>
      <w:bookmarkStart w:id="2" w:name="toc356108_3"/>
      <w:bookmarkEnd w:id="2"/>
      <w:r>
        <w:t xml:space="preserve">Our Governance Structure </w:t>
      </w:r>
    </w:p>
    <w:p w14:paraId="36E0253E" w14:textId="77777777" w:rsidR="00D246A9" w:rsidRDefault="00D246A9" w:rsidP="00224BEE">
      <w:pPr>
        <w:pStyle w:val="Heading4"/>
      </w:pPr>
      <w:r>
        <w:t xml:space="preserve">Framework </w:t>
      </w:r>
    </w:p>
    <w:p w14:paraId="50018EE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have developed a corporate governance framework designed to ensure our Board has the authority and practices in place to review and evaluate our business operations and to make decisions independent of management. Our goal is to align the interests of directors, management, and shareholders, and comply with or exceed the requirements of the Nasdaq Stock Market LLC (“Nasdaq”) and applicable laws and regulations. This framework establishes the practices our Board follows with respect to, among other things, Board composition and member selection, Board meetings and involvement of senior management, director compensation, CEO performance evaluation, management succession planning, and Board committees. The Board is committed to seeking opportunities for improvements on an ongoing basis. Each summer, the Board updates our corporate governance framework based on shareholder feedback, results from the annual shareholders meeting, the Board and committees’ annual assessments, governance best practices, and regulatory developments. Our Board maintains a variety of documents detailing the directives and procedures associated with corporate governance at Microsoft, listed below. These documents are available on our website at </w:t>
      </w:r>
      <w:r>
        <w:rPr>
          <w:rFonts w:ascii="Arial" w:hAnsi="Arial" w:cs="Arial"/>
          <w:sz w:val="18"/>
          <w:szCs w:val="18"/>
          <w:u w:val="single"/>
        </w:rPr>
        <w:t>aka.ms/policiesandguidelines</w:t>
      </w:r>
      <w:r>
        <w:rPr>
          <w:rFonts w:ascii="Arial" w:hAnsi="Arial" w:cs="Arial"/>
          <w:sz w:val="18"/>
          <w:szCs w:val="18"/>
        </w:rPr>
        <w:t xml:space="preserve">. </w:t>
      </w:r>
    </w:p>
    <w:p w14:paraId="66D33DAE"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600" w:firstRow="0" w:lastRow="0" w:firstColumn="0" w:lastColumn="0" w:noHBand="1" w:noVBand="1"/>
      </w:tblPr>
      <w:tblGrid>
        <w:gridCol w:w="5153"/>
        <w:gridCol w:w="5647"/>
      </w:tblGrid>
      <w:tr w:rsidR="00D246A9" w14:paraId="3B67AAAD" w14:textId="77777777" w:rsidTr="001237B1">
        <w:trPr>
          <w:cantSplit/>
          <w:jc w:val="center"/>
        </w:trPr>
        <w:tc>
          <w:tcPr>
            <w:tcW w:w="5153" w:type="dxa"/>
            <w:hideMark/>
          </w:tcPr>
          <w:p w14:paraId="477C5874" w14:textId="77777777" w:rsidR="00D246A9" w:rsidRPr="00306F7C"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Articles of Incorporation</w:t>
            </w:r>
          </w:p>
          <w:p w14:paraId="085A424B"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Bylaws</w:t>
            </w:r>
          </w:p>
          <w:p w14:paraId="09ADFD28"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Corporate Governance Guidelines</w:t>
            </w:r>
          </w:p>
          <w:p w14:paraId="72D5AD1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Director Independence Guidelines</w:t>
            </w:r>
          </w:p>
          <w:p w14:paraId="0A5D2E3C"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Microsoft Finance Code of Professional Conduct</w:t>
            </w:r>
          </w:p>
          <w:p w14:paraId="33C36B2C"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Microsoft Standards of Business Conduct (“Trust Code”)</w:t>
            </w:r>
          </w:p>
          <w:p w14:paraId="6AF3336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Audit Committee Charter and Responsibilities Calendar</w:t>
            </w:r>
          </w:p>
          <w:p w14:paraId="0F06D327" w14:textId="77777777" w:rsidR="00D246A9" w:rsidRDefault="00D246A9">
            <w:pPr>
              <w:pStyle w:val="NormalWeb"/>
              <w:spacing w:before="0" w:beforeAutospacing="0" w:after="20" w:afterAutospacing="0"/>
              <w:rPr>
                <w:rFonts w:ascii="Arial" w:hAnsi="Arial" w:cs="Arial"/>
              </w:rPr>
            </w:pPr>
            <w:r>
              <w:rPr>
                <w:rFonts w:ascii="Arial" w:hAnsi="Arial" w:cs="Arial"/>
              </w:rPr>
              <w:t> </w:t>
            </w:r>
          </w:p>
        </w:tc>
        <w:tc>
          <w:tcPr>
            <w:tcW w:w="5647" w:type="dxa"/>
            <w:noWrap/>
            <w:tcMar>
              <w:top w:w="0" w:type="dxa"/>
              <w:left w:w="144" w:type="dxa"/>
              <w:bottom w:w="0" w:type="dxa"/>
              <w:right w:w="0" w:type="dxa"/>
            </w:tcMar>
            <w:hideMark/>
          </w:tcPr>
          <w:p w14:paraId="13DF3A97" w14:textId="77777777" w:rsidR="00D246A9" w:rsidRDefault="00D246A9">
            <w:pPr>
              <w:rPr>
                <w:rFonts w:ascii="Arial" w:hAnsi="Arial" w:cs="Arial"/>
                <w:sz w:val="18"/>
                <w:szCs w:val="18"/>
              </w:rPr>
            </w:pPr>
            <w:r>
              <w:rPr>
                <w:rFonts w:ascii="Arial" w:hAnsi="Arial" w:cs="Arial"/>
                <w:sz w:val="18"/>
                <w:szCs w:val="18"/>
              </w:rPr>
              <w:t>•</w:t>
            </w:r>
            <w:r>
              <w:rPr>
                <w:rFonts w:ascii="Arial" w:hAnsi="Arial" w:cs="Arial"/>
                <w:sz w:val="18"/>
                <w:szCs w:val="18"/>
              </w:rPr>
              <w:tab/>
              <w:t>Compensation Committee Charter</w:t>
            </w:r>
          </w:p>
          <w:p w14:paraId="75D767E7" w14:textId="77777777" w:rsidR="00D246A9" w:rsidRPr="00306F7C" w:rsidRDefault="00D246A9">
            <w:pPr>
              <w:pStyle w:val="NormalWeb"/>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Environmental, Social, and Public Policy Committee Charter</w:t>
            </w:r>
          </w:p>
          <w:p w14:paraId="63B9F9D5"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Governance and Nominating Committee Charter</w:t>
            </w:r>
          </w:p>
          <w:p w14:paraId="70B25663"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Executive Stock Ownership Policy</w:t>
            </w:r>
          </w:p>
          <w:p w14:paraId="04A91765"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Executive Compensation Recovery Policy</w:t>
            </w:r>
          </w:p>
          <w:p w14:paraId="65F321E1" w14:textId="77777777" w:rsidR="00D246A9" w:rsidRDefault="00D246A9">
            <w:pPr>
              <w:pStyle w:val="NormalWeb"/>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Compensation Consultant Independence Standards</w:t>
            </w:r>
            <w:r>
              <w:rPr>
                <w:rFonts w:ascii="Arial" w:hAnsi="Arial" w:cs="Arial"/>
                <w:sz w:val="18"/>
                <w:szCs w:val="18"/>
              </w:rPr>
              <w:t> </w:t>
            </w:r>
          </w:p>
        </w:tc>
      </w:tr>
    </w:tbl>
    <w:p w14:paraId="6DBA2C71" w14:textId="77777777" w:rsidR="00224BEE" w:rsidRDefault="00224BEE" w:rsidP="00224BEE">
      <w:pPr>
        <w:pStyle w:val="Heading4"/>
      </w:pPr>
    </w:p>
    <w:p w14:paraId="53F66FE9" w14:textId="77777777" w:rsidR="00224BEE" w:rsidRDefault="00224BEE">
      <w:pPr>
        <w:rPr>
          <w:rFonts w:ascii="Arial" w:hAnsi="Arial" w:cs="Arial"/>
          <w:b/>
          <w:bCs/>
          <w:szCs w:val="24"/>
        </w:rPr>
      </w:pPr>
      <w:r>
        <w:br w:type="page"/>
      </w:r>
    </w:p>
    <w:p w14:paraId="130B84F1" w14:textId="1A47EA5B" w:rsidR="00D246A9" w:rsidRPr="00306F7C" w:rsidRDefault="00D246A9" w:rsidP="00224BEE">
      <w:pPr>
        <w:pStyle w:val="Heading4"/>
      </w:pPr>
      <w:r>
        <w:lastRenderedPageBreak/>
        <w:t xml:space="preserve">Shareholder Rights </w:t>
      </w:r>
    </w:p>
    <w:p w14:paraId="3BF7E014"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Microsoft strives to implement best practices in shareholder rights and to ensure the Company and Board align with the long-term interests of shareholders. We have enhanced our corporate governance framework over time based on input from our Board, shareholders, and other governance experts. Shareholder rights include: </w:t>
      </w:r>
    </w:p>
    <w:p w14:paraId="2F5C2088"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Single class of shares with each share entitled to one vote </w:t>
      </w:r>
    </w:p>
    <w:p w14:paraId="7C58BCE5"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Annual election of all directors (unclassified board) </w:t>
      </w:r>
    </w:p>
    <w:p w14:paraId="7353A5EF"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Majority voting standard for directors in uncontested elections </w:t>
      </w:r>
    </w:p>
    <w:p w14:paraId="6B11AEB1"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Confidential voting policy </w:t>
      </w:r>
    </w:p>
    <w:p w14:paraId="2067B9A8"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Shareholders of 15% of outstanding shares have the right to call a special meeting </w:t>
      </w:r>
    </w:p>
    <w:p w14:paraId="464A3786"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Proxy access bylaw allows groups of up to 20 shareholders holding 3% of shares for at least three years to nominate up to two individuals or 20% of the Board (whichever is greater) for inclusion in the proxy statement and ballot for election at an annual shareholders meeting </w:t>
      </w:r>
    </w:p>
    <w:p w14:paraId="2840F330" w14:textId="77777777" w:rsidR="00D246A9" w:rsidRDefault="00D246A9">
      <w:pPr>
        <w:pStyle w:val="NormalWeb"/>
        <w:spacing w:before="90" w:beforeAutospacing="0" w:after="0" w:afterAutospacing="0"/>
        <w:rPr>
          <w:sz w:val="2"/>
          <w:szCs w:val="2"/>
        </w:rPr>
      </w:pPr>
      <w:r>
        <w:rPr>
          <w:sz w:val="2"/>
          <w:szCs w:val="2"/>
        </w:rPr>
        <w:t> </w:t>
      </w:r>
    </w:p>
    <w:p w14:paraId="5EBE344E"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Other requirements that align Company and long-term interests of shareholders include: </w:t>
      </w:r>
    </w:p>
    <w:p w14:paraId="41E97332"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Significant stock ownership requirements for directors, executive officers, and other senior leaders </w:t>
      </w:r>
    </w:p>
    <w:p w14:paraId="33F51D5B"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Strong ‘no-fault’ executive compensation recovery (“clawback”) policy that applies to executive officers, other senior leaders, and our chief accounting officer </w:t>
      </w:r>
    </w:p>
    <w:p w14:paraId="5D73FDE1"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Strict hedging and pledging prohibitions against our directors and executive officers hedging their ownership of Microsoft stock, including by trading in options, puts, calls, or other derivative instruments related to Company equity or debt securities. Directors and executive officers are prohibited from purchasing Microsoft stock on margin, borrowing against Microsoft stock held in a margin account, or pledging Microsoft stock as collateral for a loan </w:t>
      </w:r>
    </w:p>
    <w:p w14:paraId="45DF8810"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Board tenure policy that seeks to maintain an average tenure of 10 years or less for the Board’s independent directors as a group </w:t>
      </w:r>
    </w:p>
    <w:p w14:paraId="2B73BA29"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Public company board service guideline that, absent circumstances that enable the director to have sufficient capacity, generally no director should serve on more than three other public company boards. Directors who are current CEOs should not serve on more than one other public company board </w:t>
      </w:r>
    </w:p>
    <w:p w14:paraId="11B98366" w14:textId="77777777" w:rsidR="00D246A9" w:rsidRDefault="00D246A9" w:rsidP="00224BEE">
      <w:pPr>
        <w:pStyle w:val="Heading4"/>
      </w:pPr>
      <w:r>
        <w:t xml:space="preserve">Shareholder Engagement </w:t>
      </w:r>
    </w:p>
    <w:p w14:paraId="14F2A4F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Effective corporate governance includes regular, constructive conversations with our shareholders to proactively seek shareholder insights and to answer shareholder inquiries. We maintain an active dialogue with shareholders to ensure we thoughtfully consider a diversity of perspectives on issues including strategy, business performance, risk, culture and workplace topics, compensation practices, and a broad range of environmental and social topics. As noted above, the Board updates our corporate governance framework each summer based on a number of inputs, including shareholder feedback. </w:t>
      </w:r>
    </w:p>
    <w:p w14:paraId="3BB05BF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Our Office of the Corporate Secretary coordinates shareholder engagement with Investor Relations and provides a summary of all relevant feedback to our Board</w:t>
      </w:r>
      <w:r>
        <w:rPr>
          <w:rFonts w:ascii="Arial" w:hAnsi="Arial" w:cs="Arial"/>
          <w:b/>
          <w:bCs/>
          <w:sz w:val="18"/>
          <w:szCs w:val="18"/>
        </w:rPr>
        <w:t xml:space="preserve">. </w:t>
      </w:r>
      <w:r>
        <w:rPr>
          <w:rFonts w:ascii="Arial" w:hAnsi="Arial" w:cs="Arial"/>
          <w:sz w:val="18"/>
          <w:szCs w:val="18"/>
        </w:rPr>
        <w:t xml:space="preserve">In fiscal year 2023, members of our Board and management engaged with a cross-section of shareholders owning approximately 50% of Microsoft shares. In addition, throughout the year our Investor Relations group engages with our shareholders, frequently along with Satya Nadella, our Chairman and CEO, and Amy Hood, our CFO. </w:t>
      </w:r>
    </w:p>
    <w:p w14:paraId="77C42B2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To communicate broadly with our shareholders, we also seek to transparently share relevant information through our Investor Relations website, our Annual Report, this Proxy Statement, our Reports Hub, and in posts on the Microsoft On the Issues blog. </w:t>
      </w:r>
    </w:p>
    <w:p w14:paraId="3BB95C80" w14:textId="77777777" w:rsidR="00D246A9" w:rsidRDefault="00D246A9" w:rsidP="00224BEE">
      <w:pPr>
        <w:pStyle w:val="Heading4"/>
      </w:pPr>
      <w:r>
        <w:t xml:space="preserve">Board Leadership </w:t>
      </w:r>
    </w:p>
    <w:p w14:paraId="511E7DC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Board’s independent directors elected Satya Nadella to the role of Chairman and CEO. In March 2023, the independent directors elected Sandra Peterson as Lead Independent Director. She succeeds John Thompson, who had served in the roles of Lead Independent Director or Board Chair since 2012. </w:t>
      </w:r>
    </w:p>
    <w:p w14:paraId="19CC2EF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his role, Mr. Nadella leverages his deep understanding of the business to elevate the right strategic opportunities and identify key risks and mitigation approaches for the Board’s review. As Lead Independent Director, Ms. Peterson retains significant authority including providing input on behalf of the independent directors on Board agendas and schedules, calling meetings of the independent directors, authorizing retention of outside counsel, advisors, or other consultants, setting agendas for executive sessions, leading performance evaluations of the CEO, and overseeing CEO succession planning. Additional information about the role of the Lead Independent Director is described in this Part 1 under “Board Independence” below. </w:t>
      </w:r>
    </w:p>
    <w:p w14:paraId="4DEDF2D9" w14:textId="274C96A1" w:rsidR="00D246A9" w:rsidRPr="00224BEE" w:rsidRDefault="00D246A9" w:rsidP="00224BEE">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does not have a policy as to whether the Chairman should be an independent director, an affiliated director, or a member of management. The independent directors annually appoint a Chairman of the Board. To ensure robust independent leadership on the Board, if the individual appointed as Chairman is not an independent director, or when the independent directors determine that it is in the best interests of the Company, the independent directors will also annually appoint a Lead Independent Director. Our Board believes its current leadership structure is appropriate because it effectively allocates authority, responsibility, and oversight between management and the independent members of our Board. It does this by giving primary responsibility for the operational leadership and strategic direction of the Company to our Chairman and Chief Executive Officer, while enabling the Lead Independent Director to facilitate our Board’s independent oversight of management, promote communication between management and our Board, and support our Board’s consideration of key governance matters. The Board believes its programs for overseeing risk, as described in this </w:t>
      </w:r>
      <w:r>
        <w:rPr>
          <w:rFonts w:ascii="Arial" w:hAnsi="Arial" w:cs="Arial"/>
          <w:sz w:val="18"/>
          <w:szCs w:val="18"/>
        </w:rPr>
        <w:lastRenderedPageBreak/>
        <w:t xml:space="preserve">Part 1 under “Risk Oversight,” would be effective under a variety of leadership frameworks and therefore do not materially affect its choice of structure. </w:t>
      </w:r>
    </w:p>
    <w:p w14:paraId="3C8A4B38" w14:textId="77777777" w:rsidR="00D246A9" w:rsidRDefault="00D246A9" w:rsidP="00224BEE">
      <w:pPr>
        <w:pStyle w:val="Heading4"/>
      </w:pPr>
      <w:r>
        <w:t xml:space="preserve">CEO Succession </w:t>
      </w:r>
    </w:p>
    <w:p w14:paraId="20747BC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 primary responsibility of the Board is planning for CEO succession and overseeing identification and development of other members of the senior leadership team (“SLT”). The Board and the Compensation Committee work with the CEO and our Chief Human Resources Officer to plan for succession. For the CEO, the succession plan covers identification of internal and external candidates, and professional and leadership development plans for internal candidates. The Board annually reviews the CEO succession plan. The criteria used to assess potential CEO candidates are formulated based on the Company’s business strategies, and include strategic vision, leadership, and operational execution. The Board is committed to actively seeking highly qualified women and individuals from minority groups to include in the pool of potential CEO candidates. The Board maintains an emergency succession contingency plan that is reviewed on an annual basis by the Board and Governance and Nominating Committee. The plan identifies roles and responsibilities of individuals who would act if an unforeseen event prevented the CEO from continuing to serve. The Compensation Committee reviews with the CEO and reports to the Board on development and succession plans for the other members of the SLT. The Board may review development and succession planning more frequently as it deems necessary or desirable. </w:t>
      </w:r>
    </w:p>
    <w:p w14:paraId="2FBCA834" w14:textId="77777777" w:rsidR="00D246A9" w:rsidRDefault="00D246A9" w:rsidP="00224BEE">
      <w:pPr>
        <w:pStyle w:val="Heading4"/>
      </w:pPr>
      <w:r>
        <w:t xml:space="preserve">Annual Board and Committee Evaluation Process </w:t>
      </w:r>
    </w:p>
    <w:p w14:paraId="738DADD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is committed to a rigorous self-evaluation process. The Governance and Nominating Committee annually evaluates the performance of the Board. In fiscal year 2023, the evaluation included utilizing a third-party facilitator to seek feedback from each director on the performance of the Board and each committee. The results were reported to and discussed with the Board and each relevant committee. </w:t>
      </w:r>
    </w:p>
    <w:p w14:paraId="1D5371A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evaluation process is designed to elicit feedback on the processes, structure, composition, and effectiveness of the Board and each committee. The evaluation results have facilitated increased Board and committee effectiveness, including driving clarity on key areas for the Board’s focus over the coming year, </w:t>
      </w:r>
      <w:proofErr w:type="gramStart"/>
      <w:r>
        <w:rPr>
          <w:rFonts w:ascii="Arial" w:hAnsi="Arial" w:cs="Arial"/>
          <w:sz w:val="18"/>
          <w:szCs w:val="18"/>
        </w:rPr>
        <w:t>focus</w:t>
      </w:r>
      <w:proofErr w:type="gramEnd"/>
      <w:r>
        <w:rPr>
          <w:rFonts w:ascii="Arial" w:hAnsi="Arial" w:cs="Arial"/>
          <w:sz w:val="18"/>
          <w:szCs w:val="18"/>
        </w:rPr>
        <w:t xml:space="preserve"> on sustainable growth strategies for the Company, and input on management development and succession planning as well as Board and committee composition and recruiting. </w:t>
      </w:r>
    </w:p>
    <w:p w14:paraId="253C6F23" w14:textId="77777777" w:rsidR="00D246A9" w:rsidRDefault="00D246A9" w:rsidP="00224BEE">
      <w:pPr>
        <w:pStyle w:val="Heading4"/>
      </w:pPr>
      <w:r>
        <w:t xml:space="preserve">Director Attendance </w:t>
      </w:r>
    </w:p>
    <w:p w14:paraId="1A80462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Each quarter, our Board holds two-day meetings comprised of committee and Board meetings. At each quarterly Board meeting, time is set aside for the independent directors to meet without management present. Additional executive sessions are held as needed. </w:t>
      </w:r>
    </w:p>
    <w:p w14:paraId="461098C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addition to the quarterly meetings, typically there are other regularly scheduled Board and committee meetings and several special meetings each year. Our Board met nine times during fiscal year 2023. In addition, the Board held periodic meetings dedicated to strategy topics which included presentations and discussions with members of our SLT and other senior management. </w:t>
      </w:r>
    </w:p>
    <w:p w14:paraId="05C26DE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Each director nominee attended at least 75% of the aggregate of all fiscal year 2023 meetings of the Board and each committee on which he or she served. In fiscal year 2023, the Board and committees of the Board held a total of 35 meetings. Together, the director nominees attended at least 95% of the combined total meetings of the Board and the committees on which they were members in fiscal year 2023. </w:t>
      </w:r>
    </w:p>
    <w:p w14:paraId="0EFFF03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Directors are expected to attend the annual shareholders meeting, if practicable. All directors attended the 2022 Annual Meeting. </w:t>
      </w:r>
    </w:p>
    <w:p w14:paraId="0BAE7281" w14:textId="77777777" w:rsidR="00D246A9" w:rsidRDefault="00D246A9" w:rsidP="00224BEE">
      <w:pPr>
        <w:pStyle w:val="Heading4"/>
      </w:pPr>
      <w:r>
        <w:t xml:space="preserve">Director Orientation and Continuing Education </w:t>
      </w:r>
    </w:p>
    <w:p w14:paraId="3E6B652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orientation programs are designed to familiarize new directors with our businesses, strategies, and policies and assist new directors in developing Company and industry knowledge to optimize their service on the Board. </w:t>
      </w:r>
    </w:p>
    <w:p w14:paraId="39145C0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Regular continuing education programs enhance the skills and knowledge directors use to perform their responsibilities. These programs may include internally developed programs or programs presented by third parties. </w:t>
      </w:r>
    </w:p>
    <w:p w14:paraId="5D1BC16D" w14:textId="77777777" w:rsidR="00D246A9" w:rsidRDefault="00D246A9" w:rsidP="00224BEE">
      <w:pPr>
        <w:pStyle w:val="Heading4"/>
      </w:pPr>
      <w:r>
        <w:t xml:space="preserve">Director Stock Ownership Policy </w:t>
      </w:r>
    </w:p>
    <w:p w14:paraId="0CD84B9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To align the interests of our directors and shareholders, our directors are required to own Microsoft shares equal in value to at least three times the base annual retainer (cash and stock) payable to a director. Each director must retain 50% of all net shares (post-tax) from the retainer until reaching the minimum share ownership requirement. Stock deferred under the Deferred Compensation Plan for Non-Employee Directors counts toward the minimum ownership requirement. Each of our directors complied with our stock ownership policy in fiscal year 2023. </w:t>
      </w:r>
    </w:p>
    <w:p w14:paraId="60D997C8" w14:textId="77777777" w:rsidR="00D246A9" w:rsidRDefault="00D246A9">
      <w:pPr>
        <w:pStyle w:val="NormalWeb"/>
        <w:spacing w:before="180" w:beforeAutospacing="0" w:after="0" w:afterAutospacing="0"/>
        <w:rPr>
          <w:sz w:val="2"/>
          <w:szCs w:val="2"/>
        </w:rPr>
      </w:pPr>
      <w:r>
        <w:rPr>
          <w:sz w:val="2"/>
          <w:szCs w:val="2"/>
        </w:rPr>
        <w:t> </w:t>
      </w:r>
    </w:p>
    <w:p w14:paraId="12BEAABF" w14:textId="77777777" w:rsidR="00224BEE" w:rsidRDefault="00224BEE">
      <w:pPr>
        <w:rPr>
          <w:rFonts w:ascii="Arial" w:hAnsi="Arial" w:cs="Arial"/>
          <w:b/>
          <w:bCs/>
          <w:szCs w:val="24"/>
        </w:rPr>
      </w:pPr>
      <w:r>
        <w:br w:type="page"/>
      </w:r>
    </w:p>
    <w:p w14:paraId="16A0B404" w14:textId="08F0A38A" w:rsidR="00D246A9" w:rsidRDefault="00D246A9" w:rsidP="00224BEE">
      <w:pPr>
        <w:pStyle w:val="Heading4"/>
      </w:pPr>
      <w:r>
        <w:lastRenderedPageBreak/>
        <w:t xml:space="preserve">Derivatives Trading, Hedging, and Pledging </w:t>
      </w:r>
    </w:p>
    <w:p w14:paraId="2E26C78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directors and executive officers are prohibited from trading in options, </w:t>
      </w:r>
      <w:proofErr w:type="gramStart"/>
      <w:r>
        <w:rPr>
          <w:rFonts w:ascii="Arial" w:hAnsi="Arial" w:cs="Arial"/>
          <w:sz w:val="18"/>
          <w:szCs w:val="18"/>
        </w:rPr>
        <w:t>puts</w:t>
      </w:r>
      <w:proofErr w:type="gramEnd"/>
      <w:r>
        <w:rPr>
          <w:rFonts w:ascii="Arial" w:hAnsi="Arial" w:cs="Arial"/>
          <w:sz w:val="18"/>
          <w:szCs w:val="18"/>
        </w:rPr>
        <w:t xml:space="preserve">, calls, or other derivative instruments related to Microsoft equity or debt securities. They also are prohibited from purchasing Microsoft common stock on margin, borrowing against Microsoft common stock held in a margin account, or pledging Microsoft common stock as collateral for a loan. Employees, other than executive officers, are generally permitted to engage in transactions designed to hedge or offset market risk. </w:t>
      </w:r>
    </w:p>
    <w:p w14:paraId="20C28514" w14:textId="77777777" w:rsidR="00D246A9" w:rsidRDefault="00D246A9" w:rsidP="00224BEE">
      <w:pPr>
        <w:pStyle w:val="Heading4"/>
      </w:pPr>
      <w:r>
        <w:t xml:space="preserve">Board Independence </w:t>
      </w:r>
    </w:p>
    <w:p w14:paraId="617818B8"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Board’s independence enables it to be objective and critical in carrying out its oversight responsibilities. The Corporate Governance Guidelines </w:t>
      </w:r>
      <w:proofErr w:type="gramStart"/>
      <w:r>
        <w:rPr>
          <w:rFonts w:ascii="Arial" w:hAnsi="Arial" w:cs="Arial"/>
          <w:sz w:val="18"/>
          <w:szCs w:val="18"/>
        </w:rPr>
        <w:t>provide</w:t>
      </w:r>
      <w:proofErr w:type="gramEnd"/>
      <w:r>
        <w:rPr>
          <w:rFonts w:ascii="Arial" w:hAnsi="Arial" w:cs="Arial"/>
          <w:sz w:val="18"/>
          <w:szCs w:val="18"/>
        </w:rPr>
        <w:t xml:space="preserve"> that a substantial majority of our directors will be independent. The independent members of the Board annually appoint a Lead Independent Director to facilitate the Board’s oversight of management, promote communication between management and our Board, engage with shareholders, and lead consideration of key governance matters. Key elements of our Board independence include: </w:t>
      </w:r>
    </w:p>
    <w:p w14:paraId="57593D7C"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r>
      <w:r w:rsidRPr="001237B1">
        <w:rPr>
          <w:rFonts w:ascii="Arial" w:hAnsi="Arial" w:cs="Arial"/>
          <w:b/>
          <w:bCs/>
          <w:sz w:val="18"/>
          <w:szCs w:val="18"/>
        </w:rPr>
        <w:t>11 of 12 director nominees are independent.</w:t>
      </w:r>
      <w:r>
        <w:rPr>
          <w:rFonts w:ascii="Arial" w:hAnsi="Arial" w:cs="Arial"/>
          <w:sz w:val="18"/>
          <w:szCs w:val="18"/>
        </w:rPr>
        <w:t xml:space="preserve"> We are committed to maintaining a substantial majority of directors who are independent of the Company and management. Except for our Chairman and CEO, Satya Nadella, all director nominees are independent </w:t>
      </w:r>
    </w:p>
    <w:p w14:paraId="15989471"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r>
      <w:r w:rsidRPr="001237B1">
        <w:rPr>
          <w:rFonts w:ascii="Arial" w:hAnsi="Arial" w:cs="Arial"/>
          <w:b/>
          <w:bCs/>
          <w:sz w:val="18"/>
          <w:szCs w:val="18"/>
        </w:rPr>
        <w:t>Board tenure.</w:t>
      </w:r>
      <w:r>
        <w:rPr>
          <w:rFonts w:ascii="Arial" w:hAnsi="Arial" w:cs="Arial"/>
          <w:sz w:val="18"/>
          <w:szCs w:val="18"/>
        </w:rPr>
        <w:t xml:space="preserve"> We are committed to board refreshment. To strike a balance between retaining directors with deep knowledge of the Company and adding directors with a fresh perspective, the Board seeks to maintain an average tenure of 10 years or less for its independent directors as a group. The average </w:t>
      </w:r>
      <w:proofErr w:type="gramStart"/>
      <w:r>
        <w:rPr>
          <w:rFonts w:ascii="Arial" w:hAnsi="Arial" w:cs="Arial"/>
          <w:sz w:val="18"/>
          <w:szCs w:val="18"/>
        </w:rPr>
        <w:t>tenure</w:t>
      </w:r>
      <w:proofErr w:type="gramEnd"/>
      <w:r>
        <w:rPr>
          <w:rFonts w:ascii="Arial" w:hAnsi="Arial" w:cs="Arial"/>
          <w:sz w:val="18"/>
          <w:szCs w:val="18"/>
        </w:rPr>
        <w:t xml:space="preserve"> for our independent director nominees is 5.4 years. The average tenure is 5.7 years if Mr. Nadella is included </w:t>
      </w:r>
    </w:p>
    <w:p w14:paraId="19837717"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r>
      <w:r w:rsidRPr="001237B1">
        <w:rPr>
          <w:rFonts w:ascii="Arial" w:hAnsi="Arial" w:cs="Arial"/>
          <w:b/>
          <w:bCs/>
          <w:sz w:val="18"/>
          <w:szCs w:val="18"/>
        </w:rPr>
        <w:t xml:space="preserve">Board diversity. </w:t>
      </w:r>
      <w:r>
        <w:rPr>
          <w:rFonts w:ascii="Arial" w:hAnsi="Arial" w:cs="Arial"/>
          <w:sz w:val="18"/>
          <w:szCs w:val="18"/>
        </w:rPr>
        <w:t xml:space="preserve">The Board is committed to actively seeking highly qualified women and individuals from minority groups to include in the pool of potential Board nominees and CEO candidates </w:t>
      </w:r>
    </w:p>
    <w:p w14:paraId="637C5E22"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r>
      <w:r w:rsidRPr="001237B1">
        <w:rPr>
          <w:rFonts w:ascii="Arial" w:hAnsi="Arial" w:cs="Arial"/>
          <w:b/>
          <w:bCs/>
          <w:sz w:val="18"/>
          <w:szCs w:val="18"/>
        </w:rPr>
        <w:t xml:space="preserve">Executive sessions of independent directors. </w:t>
      </w:r>
      <w:r>
        <w:rPr>
          <w:rFonts w:ascii="Arial" w:hAnsi="Arial" w:cs="Arial"/>
          <w:sz w:val="18"/>
          <w:szCs w:val="18"/>
        </w:rPr>
        <w:t xml:space="preserve">At each quarterly Board meeting, time is set aside for the independent directors to meet in executive session without management present. Additional executive sessions are held as needed </w:t>
      </w:r>
    </w:p>
    <w:p w14:paraId="353421B5"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r>
      <w:r w:rsidRPr="001237B1">
        <w:rPr>
          <w:rFonts w:ascii="Arial" w:hAnsi="Arial" w:cs="Arial"/>
          <w:b/>
          <w:bCs/>
          <w:sz w:val="18"/>
          <w:szCs w:val="18"/>
        </w:rPr>
        <w:t xml:space="preserve">Committee independence. </w:t>
      </w:r>
      <w:r>
        <w:rPr>
          <w:rFonts w:ascii="Arial" w:hAnsi="Arial" w:cs="Arial"/>
          <w:sz w:val="18"/>
          <w:szCs w:val="18"/>
        </w:rPr>
        <w:t xml:space="preserve">Only independent directors are members of the Board’s committees. Each committee meets regularly in executive </w:t>
      </w:r>
      <w:proofErr w:type="gramStart"/>
      <w:r>
        <w:rPr>
          <w:rFonts w:ascii="Arial" w:hAnsi="Arial" w:cs="Arial"/>
          <w:sz w:val="18"/>
          <w:szCs w:val="18"/>
        </w:rPr>
        <w:t>session</w:t>
      </w:r>
      <w:proofErr w:type="gramEnd"/>
      <w:r>
        <w:rPr>
          <w:rFonts w:ascii="Arial" w:hAnsi="Arial" w:cs="Arial"/>
          <w:sz w:val="18"/>
          <w:szCs w:val="18"/>
        </w:rPr>
        <w:t xml:space="preserve"> </w:t>
      </w:r>
    </w:p>
    <w:p w14:paraId="2BFDF10D"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r>
      <w:r w:rsidRPr="001237B1">
        <w:rPr>
          <w:rFonts w:ascii="Arial" w:hAnsi="Arial" w:cs="Arial"/>
          <w:b/>
          <w:bCs/>
          <w:sz w:val="18"/>
          <w:szCs w:val="18"/>
        </w:rPr>
        <w:t xml:space="preserve">Independent compensation consultant. </w:t>
      </w:r>
      <w:r>
        <w:rPr>
          <w:rFonts w:ascii="Arial" w:hAnsi="Arial" w:cs="Arial"/>
          <w:sz w:val="18"/>
          <w:szCs w:val="18"/>
        </w:rPr>
        <w:t xml:space="preserve">The compensation consultant retained by the Compensation Committee is independent of the Company and management as required by the Compensation Consultant Independence Standards </w:t>
      </w:r>
    </w:p>
    <w:p w14:paraId="48154076" w14:textId="77777777" w:rsidR="00D246A9" w:rsidRDefault="00D246A9" w:rsidP="001237B1">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r>
      <w:r w:rsidRPr="001237B1">
        <w:rPr>
          <w:rFonts w:ascii="Arial" w:hAnsi="Arial" w:cs="Arial"/>
          <w:b/>
          <w:bCs/>
          <w:sz w:val="18"/>
          <w:szCs w:val="18"/>
        </w:rPr>
        <w:t>Lead Independent Director. T</w:t>
      </w:r>
      <w:r>
        <w:rPr>
          <w:rFonts w:ascii="Arial" w:hAnsi="Arial" w:cs="Arial"/>
          <w:sz w:val="18"/>
          <w:szCs w:val="18"/>
        </w:rPr>
        <w:t xml:space="preserve">he Lead Independent Director has a clearly defined set of responsibilities, significant authority, and provides independent Board leadership. Sandra Peterson was selected by the independent members of the Board to serve as Lead Independent Director. Key responsibilities and authority include: </w:t>
      </w:r>
    </w:p>
    <w:p w14:paraId="7256C64E" w14:textId="77777777" w:rsidR="00D246A9" w:rsidRDefault="00D246A9" w:rsidP="001237B1">
      <w:pPr>
        <w:pStyle w:val="NormalWeb"/>
        <w:spacing w:before="120" w:beforeAutospacing="0" w:after="0" w:afterAutospacing="0"/>
        <w:ind w:left="36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Chairs executive sessions and coordinates activities of the independent directors </w:t>
      </w:r>
    </w:p>
    <w:p w14:paraId="06029D91" w14:textId="77777777" w:rsidR="00D246A9" w:rsidRDefault="00D246A9" w:rsidP="001237B1">
      <w:pPr>
        <w:pStyle w:val="NormalWeb"/>
        <w:spacing w:before="120" w:beforeAutospacing="0" w:after="0" w:afterAutospacing="0"/>
        <w:ind w:left="36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Leads the Board’s annual CEO performance evaluation </w:t>
      </w:r>
    </w:p>
    <w:p w14:paraId="2D6387A3" w14:textId="77777777" w:rsidR="00D246A9" w:rsidRDefault="00D246A9" w:rsidP="001237B1">
      <w:pPr>
        <w:pStyle w:val="NormalWeb"/>
        <w:spacing w:before="120" w:beforeAutospacing="0" w:after="0" w:afterAutospacing="0"/>
        <w:ind w:left="36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Coordinates Board oversight of CEO succession planning, including maintenance of an emergency succession plan </w:t>
      </w:r>
    </w:p>
    <w:p w14:paraId="5E574863" w14:textId="77777777" w:rsidR="00D246A9" w:rsidRDefault="00D246A9" w:rsidP="001237B1">
      <w:pPr>
        <w:pStyle w:val="NormalWeb"/>
        <w:spacing w:before="120" w:beforeAutospacing="0" w:after="0" w:afterAutospacing="0"/>
        <w:ind w:left="36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Chairs the annual shareholders meeting </w:t>
      </w:r>
    </w:p>
    <w:p w14:paraId="5580E571" w14:textId="77777777" w:rsidR="00D246A9" w:rsidRDefault="00D246A9" w:rsidP="001237B1">
      <w:pPr>
        <w:pStyle w:val="NormalWeb"/>
        <w:spacing w:before="120" w:beforeAutospacing="0" w:after="0" w:afterAutospacing="0"/>
        <w:ind w:left="36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Acts as liaison between the independent directors and the Chairman and CEO </w:t>
      </w:r>
    </w:p>
    <w:p w14:paraId="4CEEF3F8" w14:textId="77777777" w:rsidR="00D246A9" w:rsidRDefault="00D246A9" w:rsidP="001237B1">
      <w:pPr>
        <w:pStyle w:val="NormalWeb"/>
        <w:spacing w:before="120" w:beforeAutospacing="0" w:after="0" w:afterAutospacing="0"/>
        <w:ind w:left="36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Authorizes retention of outside counsel, advisors, or other consultants who report directly to the Board </w:t>
      </w:r>
    </w:p>
    <w:p w14:paraId="06125BB8" w14:textId="77777777" w:rsidR="00D246A9" w:rsidRDefault="00D246A9" w:rsidP="001237B1">
      <w:pPr>
        <w:pStyle w:val="NormalWeb"/>
        <w:spacing w:before="120" w:beforeAutospacing="0" w:after="0" w:afterAutospacing="0"/>
        <w:ind w:left="36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Leads the Board meetings when the Chairman and CEO is not present </w:t>
      </w:r>
    </w:p>
    <w:p w14:paraId="09556788" w14:textId="77777777" w:rsidR="00D246A9" w:rsidRDefault="00D246A9" w:rsidP="001237B1">
      <w:pPr>
        <w:pStyle w:val="NormalWeb"/>
        <w:spacing w:before="120" w:beforeAutospacing="0" w:after="0" w:afterAutospacing="0"/>
        <w:ind w:left="36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Reviews and approves the agenda and schedule for Board meetings </w:t>
      </w:r>
    </w:p>
    <w:p w14:paraId="2C717D09" w14:textId="77777777" w:rsidR="00D246A9" w:rsidRDefault="00D246A9" w:rsidP="001237B1">
      <w:pPr>
        <w:pStyle w:val="NormalWeb"/>
        <w:spacing w:before="120" w:beforeAutospacing="0" w:after="0" w:afterAutospacing="0"/>
        <w:ind w:left="36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Calls meetings of the independent directors </w:t>
      </w:r>
    </w:p>
    <w:p w14:paraId="18D697B1" w14:textId="77777777" w:rsidR="00D246A9" w:rsidRDefault="00D246A9" w:rsidP="001237B1">
      <w:pPr>
        <w:pStyle w:val="NormalWeb"/>
        <w:spacing w:before="120" w:beforeAutospacing="0" w:after="0" w:afterAutospacing="0"/>
        <w:ind w:left="36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When requested, represents the Board with internal and external audiences including shareholders </w:t>
      </w:r>
    </w:p>
    <w:p w14:paraId="7B861778" w14:textId="77777777" w:rsidR="00D246A9" w:rsidRDefault="00D246A9">
      <w:pPr>
        <w:pStyle w:val="NormalWeb"/>
        <w:spacing w:before="180" w:beforeAutospacing="0" w:after="0" w:afterAutospacing="0"/>
        <w:rPr>
          <w:sz w:val="2"/>
          <w:szCs w:val="2"/>
        </w:rPr>
      </w:pPr>
      <w:r>
        <w:rPr>
          <w:sz w:val="2"/>
          <w:szCs w:val="2"/>
        </w:rPr>
        <w:t> </w:t>
      </w:r>
    </w:p>
    <w:p w14:paraId="633B6771" w14:textId="77777777" w:rsidR="00224BEE" w:rsidRDefault="00224BEE">
      <w:pPr>
        <w:rPr>
          <w:rFonts w:ascii="Arial" w:hAnsi="Arial" w:cs="Arial"/>
          <w:b/>
          <w:bCs/>
          <w:szCs w:val="24"/>
        </w:rPr>
      </w:pPr>
      <w:r>
        <w:br w:type="page"/>
      </w:r>
    </w:p>
    <w:p w14:paraId="623F634F" w14:textId="78229F04" w:rsidR="00D246A9" w:rsidRDefault="00D246A9" w:rsidP="00224BEE">
      <w:pPr>
        <w:pStyle w:val="Heading4"/>
      </w:pPr>
      <w:r>
        <w:lastRenderedPageBreak/>
        <w:t xml:space="preserve">Board Committees </w:t>
      </w:r>
    </w:p>
    <w:p w14:paraId="34D1AC5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To support effective corporate governance, our Board delegates certain responsibilities to its committees, who report on their activities to the Board. These committees have the authority to engage legal counsel or other advisors or consultants as they deem appropriate to carry out their responsibilities. Our Board has four standing committees: an Audit Committee, a Compensation Committee, an Environmental, Social, and Public Policy Committee, and a Governance and Nominating Committee. </w:t>
      </w:r>
    </w:p>
    <w:p w14:paraId="6ACD2287"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table below provides current membership for each Board committee, followed by a summary of each committee’s responsibilities. Each committee has a charter describing its specific responsibilities which can be found on our website at </w:t>
      </w:r>
      <w:r>
        <w:rPr>
          <w:rFonts w:ascii="Arial" w:hAnsi="Arial" w:cs="Arial"/>
          <w:sz w:val="18"/>
          <w:szCs w:val="18"/>
          <w:u w:val="single"/>
        </w:rPr>
        <w:t xml:space="preserve">aka.ms/ </w:t>
      </w:r>
      <w:proofErr w:type="spellStart"/>
      <w:proofErr w:type="gramStart"/>
      <w:r>
        <w:rPr>
          <w:rFonts w:ascii="Arial" w:hAnsi="Arial" w:cs="Arial"/>
          <w:sz w:val="18"/>
          <w:szCs w:val="18"/>
          <w:u w:val="single"/>
        </w:rPr>
        <w:t>boardcommittees</w:t>
      </w:r>
      <w:proofErr w:type="spellEnd"/>
      <w:proofErr w:type="gramEnd"/>
      <w:r>
        <w:rPr>
          <w:rFonts w:ascii="Arial" w:hAnsi="Arial" w:cs="Arial"/>
          <w:sz w:val="18"/>
          <w:szCs w:val="18"/>
        </w:rPr>
        <w:t xml:space="preserve">. </w:t>
      </w:r>
    </w:p>
    <w:p w14:paraId="5AB2733A"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212"/>
        <w:gridCol w:w="1448"/>
        <w:gridCol w:w="1474"/>
        <w:gridCol w:w="2076"/>
        <w:gridCol w:w="1590"/>
      </w:tblGrid>
      <w:tr w:rsidR="00D246A9" w14:paraId="2157BB4C" w14:textId="77777777" w:rsidTr="00FE0A0A">
        <w:trPr>
          <w:cantSplit/>
          <w:tblHeader/>
        </w:trPr>
        <w:tc>
          <w:tcPr>
            <w:tcW w:w="4212" w:type="dxa"/>
            <w:tcBorders>
              <w:bottom w:val="single" w:sz="8" w:space="0" w:color="000000"/>
            </w:tcBorders>
            <w:tcMar>
              <w:top w:w="0" w:type="dxa"/>
              <w:left w:w="0" w:type="dxa"/>
              <w:bottom w:w="40" w:type="dxa"/>
              <w:right w:w="0" w:type="dxa"/>
            </w:tcMar>
            <w:vAlign w:val="bottom"/>
            <w:hideMark/>
          </w:tcPr>
          <w:p w14:paraId="7A6FD182"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Director</w:t>
            </w:r>
          </w:p>
        </w:tc>
        <w:tc>
          <w:tcPr>
            <w:tcW w:w="1448" w:type="dxa"/>
            <w:tcBorders>
              <w:bottom w:val="single" w:sz="8" w:space="0" w:color="000000"/>
            </w:tcBorders>
            <w:tcMar>
              <w:top w:w="0" w:type="dxa"/>
              <w:left w:w="144" w:type="dxa"/>
              <w:bottom w:w="0" w:type="dxa"/>
              <w:right w:w="0" w:type="dxa"/>
            </w:tcMar>
            <w:vAlign w:val="bottom"/>
            <w:hideMark/>
          </w:tcPr>
          <w:p w14:paraId="2EC557A5" w14:textId="77777777" w:rsidR="00D246A9" w:rsidRDefault="00D246A9">
            <w:pPr>
              <w:jc w:val="center"/>
              <w:rPr>
                <w:rFonts w:ascii="Arial" w:hAnsi="Arial" w:cs="Arial"/>
                <w:sz w:val="18"/>
                <w:szCs w:val="18"/>
              </w:rPr>
            </w:pPr>
            <w:r>
              <w:rPr>
                <w:rFonts w:ascii="Arial" w:hAnsi="Arial" w:cs="Arial"/>
                <w:b/>
                <w:bCs/>
                <w:sz w:val="18"/>
                <w:szCs w:val="18"/>
              </w:rPr>
              <w:t>Audit</w:t>
            </w:r>
          </w:p>
        </w:tc>
        <w:tc>
          <w:tcPr>
            <w:tcW w:w="1474" w:type="dxa"/>
            <w:tcBorders>
              <w:bottom w:val="single" w:sz="8" w:space="0" w:color="000000"/>
            </w:tcBorders>
            <w:tcMar>
              <w:top w:w="0" w:type="dxa"/>
              <w:left w:w="144" w:type="dxa"/>
              <w:bottom w:w="0" w:type="dxa"/>
              <w:right w:w="0" w:type="dxa"/>
            </w:tcMar>
            <w:vAlign w:val="bottom"/>
            <w:hideMark/>
          </w:tcPr>
          <w:p w14:paraId="63C032AD" w14:textId="77777777" w:rsidR="00D246A9" w:rsidRDefault="00D246A9">
            <w:pPr>
              <w:jc w:val="center"/>
              <w:rPr>
                <w:rFonts w:ascii="Arial" w:hAnsi="Arial" w:cs="Arial"/>
                <w:sz w:val="18"/>
                <w:szCs w:val="18"/>
              </w:rPr>
            </w:pPr>
            <w:r>
              <w:rPr>
                <w:rFonts w:ascii="Arial" w:hAnsi="Arial" w:cs="Arial"/>
                <w:b/>
                <w:bCs/>
                <w:sz w:val="18"/>
                <w:szCs w:val="18"/>
              </w:rPr>
              <w:t>Compensation</w:t>
            </w:r>
          </w:p>
        </w:tc>
        <w:tc>
          <w:tcPr>
            <w:tcW w:w="2076" w:type="dxa"/>
            <w:tcBorders>
              <w:bottom w:val="single" w:sz="8" w:space="0" w:color="000000"/>
            </w:tcBorders>
            <w:tcMar>
              <w:top w:w="0" w:type="dxa"/>
              <w:left w:w="144" w:type="dxa"/>
              <w:bottom w:w="0" w:type="dxa"/>
              <w:right w:w="0" w:type="dxa"/>
            </w:tcMar>
            <w:vAlign w:val="bottom"/>
            <w:hideMark/>
          </w:tcPr>
          <w:p w14:paraId="5F64F99A" w14:textId="77777777" w:rsidR="00D246A9" w:rsidRPr="00306F7C" w:rsidRDefault="00D246A9">
            <w:pPr>
              <w:pStyle w:val="NormalWeb"/>
              <w:spacing w:before="0" w:beforeAutospacing="0" w:after="0" w:afterAutospacing="0"/>
              <w:jc w:val="center"/>
              <w:rPr>
                <w:rFonts w:ascii="Arial" w:hAnsi="Arial" w:cs="Arial"/>
                <w:sz w:val="18"/>
                <w:szCs w:val="18"/>
              </w:rPr>
            </w:pPr>
            <w:r>
              <w:rPr>
                <w:rFonts w:ascii="Arial" w:hAnsi="Arial" w:cs="Arial"/>
                <w:b/>
                <w:bCs/>
                <w:sz w:val="18"/>
                <w:szCs w:val="18"/>
              </w:rPr>
              <w:t>Environmental, Social,</w:t>
            </w:r>
          </w:p>
          <w:p w14:paraId="3FC87238"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and Public Policy</w:t>
            </w:r>
          </w:p>
        </w:tc>
        <w:tc>
          <w:tcPr>
            <w:tcW w:w="1590" w:type="dxa"/>
            <w:tcBorders>
              <w:bottom w:val="single" w:sz="8" w:space="0" w:color="000000"/>
            </w:tcBorders>
            <w:tcMar>
              <w:top w:w="0" w:type="dxa"/>
              <w:left w:w="144" w:type="dxa"/>
              <w:bottom w:w="0" w:type="dxa"/>
              <w:right w:w="0" w:type="dxa"/>
            </w:tcMar>
            <w:vAlign w:val="bottom"/>
            <w:hideMark/>
          </w:tcPr>
          <w:p w14:paraId="07D2B00E" w14:textId="77777777" w:rsidR="00D246A9" w:rsidRDefault="00D246A9">
            <w:pPr>
              <w:pStyle w:val="NormalWeb"/>
              <w:spacing w:before="0" w:beforeAutospacing="0" w:after="0" w:afterAutospacing="0"/>
              <w:jc w:val="center"/>
              <w:rPr>
                <w:rFonts w:ascii="Arial" w:hAnsi="Arial" w:cs="Arial"/>
                <w:sz w:val="18"/>
                <w:szCs w:val="18"/>
              </w:rPr>
            </w:pPr>
            <w:r>
              <w:rPr>
                <w:rFonts w:ascii="Arial" w:hAnsi="Arial" w:cs="Arial"/>
                <w:b/>
                <w:bCs/>
                <w:sz w:val="18"/>
                <w:szCs w:val="18"/>
              </w:rPr>
              <w:t>Governance and</w:t>
            </w:r>
            <w:r>
              <w:rPr>
                <w:rFonts w:ascii="Arial" w:hAnsi="Arial" w:cs="Arial"/>
                <w:b/>
                <w:bCs/>
                <w:sz w:val="18"/>
                <w:szCs w:val="18"/>
              </w:rPr>
              <w:t> </w:t>
            </w:r>
          </w:p>
          <w:p w14:paraId="38B8B72B"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Nominating</w:t>
            </w:r>
            <w:r>
              <w:rPr>
                <w:rFonts w:ascii="Arial" w:hAnsi="Arial" w:cs="Arial"/>
                <w:b/>
                <w:bCs/>
                <w:sz w:val="18"/>
                <w:szCs w:val="18"/>
              </w:rPr>
              <w:t> </w:t>
            </w:r>
          </w:p>
        </w:tc>
      </w:tr>
      <w:tr w:rsidR="00EB4E9E" w14:paraId="519F5D50" w14:textId="77777777" w:rsidTr="00FE0A0A">
        <w:trPr>
          <w:cantSplit/>
        </w:trPr>
        <w:tc>
          <w:tcPr>
            <w:tcW w:w="4212" w:type="dxa"/>
            <w:tcBorders>
              <w:bottom w:val="single" w:sz="6" w:space="0" w:color="0075C9"/>
            </w:tcBorders>
            <w:tcMar>
              <w:top w:w="0" w:type="dxa"/>
              <w:left w:w="0" w:type="dxa"/>
              <w:bottom w:w="40" w:type="dxa"/>
              <w:right w:w="0" w:type="dxa"/>
            </w:tcMar>
            <w:hideMark/>
          </w:tcPr>
          <w:p w14:paraId="5BB335FA" w14:textId="77777777" w:rsidR="00EB4E9E" w:rsidRPr="00306F7C" w:rsidRDefault="00EB4E9E" w:rsidP="00EB4E9E">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Reid G. Hoffman</w:t>
            </w:r>
          </w:p>
        </w:tc>
        <w:tc>
          <w:tcPr>
            <w:tcW w:w="1448" w:type="dxa"/>
            <w:tcBorders>
              <w:bottom w:val="single" w:sz="6" w:space="0" w:color="0075C9"/>
            </w:tcBorders>
            <w:noWrap/>
            <w:tcMar>
              <w:top w:w="0" w:type="dxa"/>
              <w:left w:w="144" w:type="dxa"/>
              <w:bottom w:w="0" w:type="dxa"/>
              <w:right w:w="0" w:type="dxa"/>
            </w:tcMar>
            <w:vAlign w:val="bottom"/>
            <w:hideMark/>
          </w:tcPr>
          <w:p w14:paraId="052A9303" w14:textId="182971E2"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1474" w:type="dxa"/>
            <w:tcBorders>
              <w:bottom w:val="single" w:sz="6" w:space="0" w:color="0075C9"/>
            </w:tcBorders>
            <w:noWrap/>
            <w:tcMar>
              <w:top w:w="0" w:type="dxa"/>
              <w:left w:w="144" w:type="dxa"/>
              <w:bottom w:w="0" w:type="dxa"/>
              <w:right w:w="0" w:type="dxa"/>
            </w:tcMar>
            <w:vAlign w:val="bottom"/>
            <w:hideMark/>
          </w:tcPr>
          <w:p w14:paraId="4D568FBD" w14:textId="04DA7583"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2076" w:type="dxa"/>
            <w:tcBorders>
              <w:bottom w:val="single" w:sz="6" w:space="0" w:color="0075C9"/>
            </w:tcBorders>
            <w:noWrap/>
            <w:tcMar>
              <w:top w:w="0" w:type="dxa"/>
              <w:left w:w="144" w:type="dxa"/>
              <w:bottom w:w="0" w:type="dxa"/>
              <w:right w:w="0" w:type="dxa"/>
            </w:tcMar>
            <w:vAlign w:val="bottom"/>
            <w:hideMark/>
          </w:tcPr>
          <w:p w14:paraId="0CD5219A" w14:textId="77777777" w:rsidR="00EB4E9E" w:rsidRDefault="00EB4E9E" w:rsidP="00EB4E9E">
            <w:pPr>
              <w:jc w:val="center"/>
              <w:rPr>
                <w:rFonts w:ascii="Arial" w:hAnsi="Arial" w:cs="Arial"/>
                <w:sz w:val="18"/>
                <w:szCs w:val="18"/>
              </w:rPr>
            </w:pPr>
            <w:r>
              <w:rPr>
                <w:rFonts w:ascii="Arial" w:hAnsi="Arial" w:cs="Arial"/>
                <w:sz w:val="18"/>
                <w:szCs w:val="18"/>
              </w:rPr>
              <w:t>Member</w:t>
            </w:r>
          </w:p>
        </w:tc>
        <w:tc>
          <w:tcPr>
            <w:tcW w:w="1590" w:type="dxa"/>
            <w:tcBorders>
              <w:bottom w:val="single" w:sz="6" w:space="0" w:color="0075C9"/>
            </w:tcBorders>
            <w:noWrap/>
            <w:tcMar>
              <w:top w:w="0" w:type="dxa"/>
              <w:left w:w="144" w:type="dxa"/>
              <w:bottom w:w="0" w:type="dxa"/>
              <w:right w:w="0" w:type="dxa"/>
            </w:tcMar>
            <w:vAlign w:val="bottom"/>
            <w:hideMark/>
          </w:tcPr>
          <w:p w14:paraId="6776BF8C" w14:textId="615096CB"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r>
      <w:tr w:rsidR="00EB4E9E" w14:paraId="5DA9883B" w14:textId="77777777" w:rsidTr="00FE0A0A">
        <w:trPr>
          <w:cantSplit/>
        </w:trPr>
        <w:tc>
          <w:tcPr>
            <w:tcW w:w="4212" w:type="dxa"/>
            <w:tcBorders>
              <w:bottom w:val="single" w:sz="6" w:space="0" w:color="0075C9"/>
            </w:tcBorders>
            <w:tcMar>
              <w:top w:w="0" w:type="dxa"/>
              <w:left w:w="0" w:type="dxa"/>
              <w:bottom w:w="40" w:type="dxa"/>
              <w:right w:w="0" w:type="dxa"/>
            </w:tcMar>
            <w:vAlign w:val="center"/>
            <w:hideMark/>
          </w:tcPr>
          <w:p w14:paraId="636D137C" w14:textId="77777777" w:rsidR="00EB4E9E" w:rsidRPr="00306F7C" w:rsidRDefault="00EB4E9E" w:rsidP="00EB4E9E">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Hugh F. Johnston</w:t>
            </w:r>
          </w:p>
        </w:tc>
        <w:tc>
          <w:tcPr>
            <w:tcW w:w="1448" w:type="dxa"/>
            <w:tcBorders>
              <w:bottom w:val="single" w:sz="6" w:space="0" w:color="0075C9"/>
            </w:tcBorders>
            <w:noWrap/>
            <w:tcMar>
              <w:top w:w="0" w:type="dxa"/>
              <w:left w:w="144" w:type="dxa"/>
              <w:bottom w:w="0" w:type="dxa"/>
              <w:right w:w="0" w:type="dxa"/>
            </w:tcMar>
            <w:vAlign w:val="bottom"/>
            <w:hideMark/>
          </w:tcPr>
          <w:p w14:paraId="6A9172A8" w14:textId="77777777" w:rsidR="00EB4E9E" w:rsidRDefault="00EB4E9E" w:rsidP="00EB4E9E">
            <w:pPr>
              <w:jc w:val="center"/>
              <w:rPr>
                <w:rFonts w:ascii="Arial" w:hAnsi="Arial" w:cs="Arial"/>
                <w:sz w:val="18"/>
                <w:szCs w:val="18"/>
              </w:rPr>
            </w:pPr>
            <w:r>
              <w:rPr>
                <w:rFonts w:ascii="Arial" w:hAnsi="Arial" w:cs="Arial"/>
                <w:sz w:val="18"/>
                <w:szCs w:val="18"/>
              </w:rPr>
              <w:t>Chair,</w:t>
            </w:r>
          </w:p>
          <w:p w14:paraId="68E88579" w14:textId="77777777" w:rsidR="00EB4E9E" w:rsidRPr="00306F7C" w:rsidRDefault="00EB4E9E" w:rsidP="00EB4E9E">
            <w:pPr>
              <w:pStyle w:val="NormalWeb"/>
              <w:spacing w:before="0" w:beforeAutospacing="0" w:after="20" w:afterAutospacing="0"/>
              <w:jc w:val="center"/>
              <w:rPr>
                <w:rFonts w:ascii="Arial" w:hAnsi="Arial" w:cs="Arial"/>
                <w:sz w:val="18"/>
                <w:szCs w:val="18"/>
              </w:rPr>
            </w:pPr>
            <w:r>
              <w:rPr>
                <w:rFonts w:ascii="Arial" w:hAnsi="Arial" w:cs="Arial"/>
                <w:sz w:val="18"/>
                <w:szCs w:val="18"/>
              </w:rPr>
              <w:t>Financial Expert</w:t>
            </w:r>
          </w:p>
        </w:tc>
        <w:tc>
          <w:tcPr>
            <w:tcW w:w="1474" w:type="dxa"/>
            <w:tcBorders>
              <w:bottom w:val="single" w:sz="6" w:space="0" w:color="0075C9"/>
            </w:tcBorders>
            <w:noWrap/>
            <w:tcMar>
              <w:top w:w="0" w:type="dxa"/>
              <w:left w:w="144" w:type="dxa"/>
              <w:bottom w:w="0" w:type="dxa"/>
              <w:right w:w="0" w:type="dxa"/>
            </w:tcMar>
            <w:vAlign w:val="bottom"/>
            <w:hideMark/>
          </w:tcPr>
          <w:p w14:paraId="3B55691F" w14:textId="4BDAC847"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2076" w:type="dxa"/>
            <w:tcBorders>
              <w:bottom w:val="single" w:sz="6" w:space="0" w:color="0075C9"/>
            </w:tcBorders>
            <w:noWrap/>
            <w:tcMar>
              <w:top w:w="0" w:type="dxa"/>
              <w:left w:w="144" w:type="dxa"/>
              <w:bottom w:w="0" w:type="dxa"/>
              <w:right w:w="0" w:type="dxa"/>
            </w:tcMar>
            <w:vAlign w:val="bottom"/>
            <w:hideMark/>
          </w:tcPr>
          <w:p w14:paraId="56AE8EE5" w14:textId="692EB1F2"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1590" w:type="dxa"/>
            <w:tcBorders>
              <w:bottom w:val="single" w:sz="6" w:space="0" w:color="0075C9"/>
            </w:tcBorders>
            <w:noWrap/>
            <w:tcMar>
              <w:top w:w="0" w:type="dxa"/>
              <w:left w:w="144" w:type="dxa"/>
              <w:bottom w:w="0" w:type="dxa"/>
              <w:right w:w="0" w:type="dxa"/>
            </w:tcMar>
            <w:vAlign w:val="bottom"/>
            <w:hideMark/>
          </w:tcPr>
          <w:p w14:paraId="01ACCFB8" w14:textId="6BB5E560"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r>
      <w:tr w:rsidR="00EB4E9E" w14:paraId="1EC014CB" w14:textId="77777777" w:rsidTr="00FE0A0A">
        <w:trPr>
          <w:cantSplit/>
        </w:trPr>
        <w:tc>
          <w:tcPr>
            <w:tcW w:w="4212" w:type="dxa"/>
            <w:tcBorders>
              <w:bottom w:val="single" w:sz="6" w:space="0" w:color="0075C9"/>
            </w:tcBorders>
            <w:tcMar>
              <w:top w:w="0" w:type="dxa"/>
              <w:left w:w="0" w:type="dxa"/>
              <w:bottom w:w="40" w:type="dxa"/>
              <w:right w:w="0" w:type="dxa"/>
            </w:tcMar>
            <w:vAlign w:val="center"/>
            <w:hideMark/>
          </w:tcPr>
          <w:p w14:paraId="3A5F8100" w14:textId="77777777" w:rsidR="00EB4E9E" w:rsidRPr="00306F7C" w:rsidRDefault="00EB4E9E" w:rsidP="00EB4E9E">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Teri L. List</w:t>
            </w:r>
          </w:p>
        </w:tc>
        <w:tc>
          <w:tcPr>
            <w:tcW w:w="1448" w:type="dxa"/>
            <w:tcBorders>
              <w:bottom w:val="single" w:sz="6" w:space="0" w:color="0075C9"/>
            </w:tcBorders>
            <w:noWrap/>
            <w:tcMar>
              <w:top w:w="0" w:type="dxa"/>
              <w:left w:w="144" w:type="dxa"/>
              <w:bottom w:w="0" w:type="dxa"/>
              <w:right w:w="0" w:type="dxa"/>
            </w:tcMar>
            <w:vAlign w:val="bottom"/>
            <w:hideMark/>
          </w:tcPr>
          <w:p w14:paraId="7CE4A261" w14:textId="77777777" w:rsidR="00EB4E9E" w:rsidRDefault="00EB4E9E" w:rsidP="00EB4E9E">
            <w:pPr>
              <w:jc w:val="center"/>
              <w:rPr>
                <w:rFonts w:ascii="Arial" w:hAnsi="Arial" w:cs="Arial"/>
                <w:sz w:val="18"/>
                <w:szCs w:val="18"/>
              </w:rPr>
            </w:pPr>
            <w:r>
              <w:rPr>
                <w:rFonts w:ascii="Arial" w:hAnsi="Arial" w:cs="Arial"/>
                <w:sz w:val="18"/>
                <w:szCs w:val="18"/>
              </w:rPr>
              <w:t>Financial Expert</w:t>
            </w:r>
          </w:p>
          <w:p w14:paraId="6A366B15" w14:textId="77777777" w:rsidR="00EB4E9E" w:rsidRPr="00306F7C" w:rsidRDefault="00EB4E9E" w:rsidP="00EB4E9E">
            <w:pPr>
              <w:pStyle w:val="NormalWeb"/>
              <w:spacing w:before="0" w:beforeAutospacing="0" w:after="20" w:afterAutospacing="0"/>
              <w:jc w:val="center"/>
              <w:rPr>
                <w:rFonts w:ascii="Arial" w:hAnsi="Arial" w:cs="Arial"/>
                <w:sz w:val="18"/>
                <w:szCs w:val="18"/>
              </w:rPr>
            </w:pPr>
            <w:r>
              <w:rPr>
                <w:rFonts w:ascii="Arial" w:hAnsi="Arial" w:cs="Arial"/>
                <w:sz w:val="18"/>
                <w:szCs w:val="18"/>
              </w:rPr>
              <w:t>and Member</w:t>
            </w:r>
          </w:p>
        </w:tc>
        <w:tc>
          <w:tcPr>
            <w:tcW w:w="1474" w:type="dxa"/>
            <w:tcBorders>
              <w:bottom w:val="single" w:sz="6" w:space="0" w:color="0075C9"/>
            </w:tcBorders>
            <w:noWrap/>
            <w:tcMar>
              <w:top w:w="0" w:type="dxa"/>
              <w:left w:w="144" w:type="dxa"/>
              <w:bottom w:w="0" w:type="dxa"/>
              <w:right w:w="0" w:type="dxa"/>
            </w:tcMar>
            <w:vAlign w:val="bottom"/>
            <w:hideMark/>
          </w:tcPr>
          <w:p w14:paraId="44B6EA9B" w14:textId="234233A5"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2076" w:type="dxa"/>
            <w:tcBorders>
              <w:bottom w:val="single" w:sz="6" w:space="0" w:color="0075C9"/>
            </w:tcBorders>
            <w:noWrap/>
            <w:tcMar>
              <w:top w:w="0" w:type="dxa"/>
              <w:left w:w="144" w:type="dxa"/>
              <w:bottom w:w="0" w:type="dxa"/>
              <w:right w:w="0" w:type="dxa"/>
            </w:tcMar>
            <w:vAlign w:val="bottom"/>
            <w:hideMark/>
          </w:tcPr>
          <w:p w14:paraId="38531E51" w14:textId="3F6D9251"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1590" w:type="dxa"/>
            <w:tcBorders>
              <w:bottom w:val="single" w:sz="6" w:space="0" w:color="0075C9"/>
            </w:tcBorders>
            <w:noWrap/>
            <w:tcMar>
              <w:top w:w="0" w:type="dxa"/>
              <w:left w:w="144" w:type="dxa"/>
              <w:bottom w:w="0" w:type="dxa"/>
              <w:right w:w="0" w:type="dxa"/>
            </w:tcMar>
            <w:vAlign w:val="bottom"/>
            <w:hideMark/>
          </w:tcPr>
          <w:p w14:paraId="67BED361" w14:textId="77777777" w:rsidR="00EB4E9E" w:rsidRDefault="00EB4E9E" w:rsidP="00EB4E9E">
            <w:pPr>
              <w:jc w:val="center"/>
              <w:rPr>
                <w:rFonts w:ascii="Arial" w:hAnsi="Arial" w:cs="Arial"/>
                <w:sz w:val="18"/>
                <w:szCs w:val="18"/>
              </w:rPr>
            </w:pPr>
            <w:r>
              <w:rPr>
                <w:rFonts w:ascii="Arial" w:hAnsi="Arial" w:cs="Arial"/>
                <w:sz w:val="18"/>
                <w:szCs w:val="18"/>
              </w:rPr>
              <w:t>Member</w:t>
            </w:r>
            <w:r>
              <w:rPr>
                <w:rFonts w:ascii="Arial" w:hAnsi="Arial" w:cs="Arial"/>
                <w:sz w:val="18"/>
                <w:szCs w:val="18"/>
              </w:rPr>
              <w:t> </w:t>
            </w:r>
          </w:p>
        </w:tc>
      </w:tr>
      <w:tr w:rsidR="00EB4E9E" w14:paraId="1AB23767" w14:textId="77777777" w:rsidTr="00FE0A0A">
        <w:trPr>
          <w:cantSplit/>
        </w:trPr>
        <w:tc>
          <w:tcPr>
            <w:tcW w:w="4212" w:type="dxa"/>
            <w:tcBorders>
              <w:bottom w:val="single" w:sz="6" w:space="0" w:color="0075C9"/>
            </w:tcBorders>
            <w:tcMar>
              <w:top w:w="0" w:type="dxa"/>
              <w:left w:w="0" w:type="dxa"/>
              <w:bottom w:w="40" w:type="dxa"/>
              <w:right w:w="0" w:type="dxa"/>
            </w:tcMar>
            <w:hideMark/>
          </w:tcPr>
          <w:p w14:paraId="4E8EC50D" w14:textId="77777777" w:rsidR="00EB4E9E" w:rsidRPr="00306F7C" w:rsidRDefault="00EB4E9E" w:rsidP="00EB4E9E">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448" w:type="dxa"/>
            <w:tcBorders>
              <w:bottom w:val="single" w:sz="6" w:space="0" w:color="0075C9"/>
            </w:tcBorders>
            <w:noWrap/>
            <w:tcMar>
              <w:top w:w="0" w:type="dxa"/>
              <w:left w:w="144" w:type="dxa"/>
              <w:bottom w:w="0" w:type="dxa"/>
              <w:right w:w="0" w:type="dxa"/>
            </w:tcMar>
            <w:vAlign w:val="bottom"/>
            <w:hideMark/>
          </w:tcPr>
          <w:p w14:paraId="562A5817" w14:textId="609D3ECB"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1474" w:type="dxa"/>
            <w:tcBorders>
              <w:bottom w:val="single" w:sz="6" w:space="0" w:color="0075C9"/>
            </w:tcBorders>
            <w:noWrap/>
            <w:tcMar>
              <w:top w:w="0" w:type="dxa"/>
              <w:left w:w="144" w:type="dxa"/>
              <w:bottom w:w="0" w:type="dxa"/>
              <w:right w:w="0" w:type="dxa"/>
            </w:tcMar>
            <w:vAlign w:val="bottom"/>
            <w:hideMark/>
          </w:tcPr>
          <w:p w14:paraId="3182586D" w14:textId="0B7ED3D5"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2076" w:type="dxa"/>
            <w:tcBorders>
              <w:bottom w:val="single" w:sz="6" w:space="0" w:color="0075C9"/>
            </w:tcBorders>
            <w:noWrap/>
            <w:tcMar>
              <w:top w:w="0" w:type="dxa"/>
              <w:left w:w="144" w:type="dxa"/>
              <w:bottom w:w="0" w:type="dxa"/>
              <w:right w:w="0" w:type="dxa"/>
            </w:tcMar>
            <w:vAlign w:val="bottom"/>
            <w:hideMark/>
          </w:tcPr>
          <w:p w14:paraId="708720EA" w14:textId="1B913CF1"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1590" w:type="dxa"/>
            <w:tcBorders>
              <w:bottom w:val="single" w:sz="6" w:space="0" w:color="0075C9"/>
            </w:tcBorders>
            <w:noWrap/>
            <w:tcMar>
              <w:top w:w="0" w:type="dxa"/>
              <w:left w:w="144" w:type="dxa"/>
              <w:bottom w:w="0" w:type="dxa"/>
              <w:right w:w="0" w:type="dxa"/>
            </w:tcMar>
            <w:vAlign w:val="bottom"/>
            <w:hideMark/>
          </w:tcPr>
          <w:p w14:paraId="0B06B09D" w14:textId="2DDBA39F"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r>
      <w:tr w:rsidR="00EB4E9E" w14:paraId="59B7C4F2" w14:textId="77777777" w:rsidTr="00FE0A0A">
        <w:trPr>
          <w:cantSplit/>
        </w:trPr>
        <w:tc>
          <w:tcPr>
            <w:tcW w:w="4212" w:type="dxa"/>
            <w:tcBorders>
              <w:bottom w:val="single" w:sz="6" w:space="0" w:color="0075C9"/>
            </w:tcBorders>
            <w:tcMar>
              <w:top w:w="0" w:type="dxa"/>
              <w:left w:w="0" w:type="dxa"/>
              <w:bottom w:w="40" w:type="dxa"/>
              <w:right w:w="0" w:type="dxa"/>
            </w:tcMar>
            <w:hideMark/>
          </w:tcPr>
          <w:p w14:paraId="1EFAAFD2" w14:textId="77777777" w:rsidR="00EB4E9E" w:rsidRPr="00306F7C" w:rsidRDefault="00EB4E9E" w:rsidP="00EB4E9E">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Sandra E. Peterson</w:t>
            </w:r>
          </w:p>
        </w:tc>
        <w:tc>
          <w:tcPr>
            <w:tcW w:w="1448" w:type="dxa"/>
            <w:tcBorders>
              <w:bottom w:val="single" w:sz="6" w:space="0" w:color="0075C9"/>
            </w:tcBorders>
            <w:noWrap/>
            <w:tcMar>
              <w:top w:w="0" w:type="dxa"/>
              <w:left w:w="144" w:type="dxa"/>
              <w:bottom w:w="0" w:type="dxa"/>
              <w:right w:w="0" w:type="dxa"/>
            </w:tcMar>
            <w:vAlign w:val="bottom"/>
            <w:hideMark/>
          </w:tcPr>
          <w:p w14:paraId="1237BE3E" w14:textId="0DA01B87"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1474" w:type="dxa"/>
            <w:tcBorders>
              <w:bottom w:val="single" w:sz="6" w:space="0" w:color="0075C9"/>
            </w:tcBorders>
            <w:noWrap/>
            <w:tcMar>
              <w:top w:w="0" w:type="dxa"/>
              <w:left w:w="144" w:type="dxa"/>
              <w:bottom w:w="0" w:type="dxa"/>
              <w:right w:w="0" w:type="dxa"/>
            </w:tcMar>
            <w:vAlign w:val="bottom"/>
            <w:hideMark/>
          </w:tcPr>
          <w:p w14:paraId="7F8A17C7" w14:textId="77777777" w:rsidR="00EB4E9E" w:rsidRDefault="00EB4E9E" w:rsidP="00EB4E9E">
            <w:pPr>
              <w:jc w:val="center"/>
              <w:rPr>
                <w:rFonts w:ascii="Arial" w:hAnsi="Arial" w:cs="Arial"/>
                <w:sz w:val="18"/>
                <w:szCs w:val="18"/>
              </w:rPr>
            </w:pPr>
            <w:r>
              <w:rPr>
                <w:rFonts w:ascii="Arial" w:hAnsi="Arial" w:cs="Arial"/>
                <w:sz w:val="18"/>
                <w:szCs w:val="18"/>
              </w:rPr>
              <w:t>Member</w:t>
            </w:r>
          </w:p>
        </w:tc>
        <w:tc>
          <w:tcPr>
            <w:tcW w:w="2076" w:type="dxa"/>
            <w:tcBorders>
              <w:bottom w:val="single" w:sz="6" w:space="0" w:color="0075C9"/>
            </w:tcBorders>
            <w:noWrap/>
            <w:tcMar>
              <w:top w:w="0" w:type="dxa"/>
              <w:left w:w="144" w:type="dxa"/>
              <w:bottom w:w="0" w:type="dxa"/>
              <w:right w:w="0" w:type="dxa"/>
            </w:tcMar>
            <w:vAlign w:val="bottom"/>
            <w:hideMark/>
          </w:tcPr>
          <w:p w14:paraId="6FBF2387" w14:textId="30A4C3FD"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1590" w:type="dxa"/>
            <w:tcBorders>
              <w:bottom w:val="single" w:sz="6" w:space="0" w:color="0075C9"/>
            </w:tcBorders>
            <w:noWrap/>
            <w:tcMar>
              <w:top w:w="0" w:type="dxa"/>
              <w:left w:w="144" w:type="dxa"/>
              <w:bottom w:w="0" w:type="dxa"/>
              <w:right w:w="0" w:type="dxa"/>
            </w:tcMar>
            <w:vAlign w:val="bottom"/>
            <w:hideMark/>
          </w:tcPr>
          <w:p w14:paraId="12C2E429" w14:textId="77777777" w:rsidR="00EB4E9E" w:rsidRDefault="00EB4E9E" w:rsidP="00EB4E9E">
            <w:pPr>
              <w:jc w:val="center"/>
              <w:rPr>
                <w:rFonts w:ascii="Arial" w:hAnsi="Arial" w:cs="Arial"/>
                <w:sz w:val="18"/>
                <w:szCs w:val="18"/>
              </w:rPr>
            </w:pPr>
            <w:r>
              <w:rPr>
                <w:rFonts w:ascii="Arial" w:hAnsi="Arial" w:cs="Arial"/>
                <w:sz w:val="18"/>
                <w:szCs w:val="18"/>
              </w:rPr>
              <w:t>Chair</w:t>
            </w:r>
            <w:r>
              <w:rPr>
                <w:rFonts w:ascii="Arial" w:hAnsi="Arial" w:cs="Arial"/>
                <w:sz w:val="18"/>
                <w:szCs w:val="18"/>
              </w:rPr>
              <w:t> </w:t>
            </w:r>
          </w:p>
        </w:tc>
      </w:tr>
      <w:tr w:rsidR="00EB4E9E" w14:paraId="7CF9DA0C" w14:textId="77777777" w:rsidTr="00FE0A0A">
        <w:trPr>
          <w:cantSplit/>
        </w:trPr>
        <w:tc>
          <w:tcPr>
            <w:tcW w:w="4212" w:type="dxa"/>
            <w:tcBorders>
              <w:bottom w:val="single" w:sz="6" w:space="0" w:color="0075C9"/>
            </w:tcBorders>
            <w:tcMar>
              <w:top w:w="0" w:type="dxa"/>
              <w:left w:w="0" w:type="dxa"/>
              <w:bottom w:w="40" w:type="dxa"/>
              <w:right w:w="0" w:type="dxa"/>
            </w:tcMar>
            <w:hideMark/>
          </w:tcPr>
          <w:p w14:paraId="7D690858" w14:textId="77777777" w:rsidR="00EB4E9E" w:rsidRPr="00306F7C" w:rsidRDefault="00EB4E9E" w:rsidP="00EB4E9E">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Penny S. Pritzker</w:t>
            </w:r>
          </w:p>
        </w:tc>
        <w:tc>
          <w:tcPr>
            <w:tcW w:w="1448" w:type="dxa"/>
            <w:tcBorders>
              <w:bottom w:val="single" w:sz="6" w:space="0" w:color="0075C9"/>
            </w:tcBorders>
            <w:noWrap/>
            <w:tcMar>
              <w:top w:w="0" w:type="dxa"/>
              <w:left w:w="144" w:type="dxa"/>
              <w:bottom w:w="0" w:type="dxa"/>
              <w:right w:w="0" w:type="dxa"/>
            </w:tcMar>
            <w:vAlign w:val="bottom"/>
            <w:hideMark/>
          </w:tcPr>
          <w:p w14:paraId="417204C4" w14:textId="7ADEEDC4"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1474" w:type="dxa"/>
            <w:tcBorders>
              <w:bottom w:val="single" w:sz="6" w:space="0" w:color="0075C9"/>
            </w:tcBorders>
            <w:noWrap/>
            <w:tcMar>
              <w:top w:w="0" w:type="dxa"/>
              <w:left w:w="144" w:type="dxa"/>
              <w:bottom w:w="0" w:type="dxa"/>
              <w:right w:w="0" w:type="dxa"/>
            </w:tcMar>
            <w:vAlign w:val="bottom"/>
            <w:hideMark/>
          </w:tcPr>
          <w:p w14:paraId="4E2DA327" w14:textId="55547F00" w:rsidR="00EB4E9E" w:rsidRDefault="00EB4E9E" w:rsidP="00EB4E9E">
            <w:pPr>
              <w:rPr>
                <w:sz w:val="20"/>
              </w:rPr>
            </w:pPr>
            <w:r w:rsidRPr="0022689D">
              <w:rPr>
                <w:rFonts w:ascii="Arial" w:hAnsi="Arial" w:cs="Arial"/>
                <w:color w:val="FFFFFF" w:themeColor="background1"/>
                <w:sz w:val="18"/>
                <w:szCs w:val="18"/>
              </w:rPr>
              <w:t>NA</w:t>
            </w:r>
          </w:p>
        </w:tc>
        <w:tc>
          <w:tcPr>
            <w:tcW w:w="2076" w:type="dxa"/>
            <w:tcBorders>
              <w:bottom w:val="single" w:sz="6" w:space="0" w:color="0075C9"/>
            </w:tcBorders>
            <w:noWrap/>
            <w:tcMar>
              <w:top w:w="0" w:type="dxa"/>
              <w:left w:w="144" w:type="dxa"/>
              <w:bottom w:w="0" w:type="dxa"/>
              <w:right w:w="0" w:type="dxa"/>
            </w:tcMar>
            <w:vAlign w:val="bottom"/>
            <w:hideMark/>
          </w:tcPr>
          <w:p w14:paraId="47D8E1BD" w14:textId="77777777" w:rsidR="00EB4E9E" w:rsidRDefault="00EB4E9E" w:rsidP="00EB4E9E">
            <w:pPr>
              <w:jc w:val="center"/>
              <w:rPr>
                <w:rFonts w:ascii="Arial" w:hAnsi="Arial" w:cs="Arial"/>
                <w:sz w:val="18"/>
                <w:szCs w:val="18"/>
              </w:rPr>
            </w:pPr>
            <w:r>
              <w:rPr>
                <w:rFonts w:ascii="Arial" w:hAnsi="Arial" w:cs="Arial"/>
                <w:sz w:val="18"/>
                <w:szCs w:val="18"/>
              </w:rPr>
              <w:t>Chair</w:t>
            </w:r>
          </w:p>
        </w:tc>
        <w:tc>
          <w:tcPr>
            <w:tcW w:w="1590" w:type="dxa"/>
            <w:tcBorders>
              <w:bottom w:val="single" w:sz="6" w:space="0" w:color="0075C9"/>
            </w:tcBorders>
            <w:noWrap/>
            <w:tcMar>
              <w:top w:w="0" w:type="dxa"/>
              <w:left w:w="144" w:type="dxa"/>
              <w:bottom w:w="0" w:type="dxa"/>
              <w:right w:w="0" w:type="dxa"/>
            </w:tcMar>
            <w:vAlign w:val="bottom"/>
            <w:hideMark/>
          </w:tcPr>
          <w:p w14:paraId="6658EFF1" w14:textId="16BE04CB"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r>
      <w:tr w:rsidR="00EB4E9E" w14:paraId="6A9548C6" w14:textId="77777777" w:rsidTr="00FE0A0A">
        <w:trPr>
          <w:cantSplit/>
        </w:trPr>
        <w:tc>
          <w:tcPr>
            <w:tcW w:w="4212" w:type="dxa"/>
            <w:tcBorders>
              <w:bottom w:val="single" w:sz="6" w:space="0" w:color="0075C9"/>
            </w:tcBorders>
            <w:tcMar>
              <w:top w:w="0" w:type="dxa"/>
              <w:left w:w="0" w:type="dxa"/>
              <w:bottom w:w="40" w:type="dxa"/>
              <w:right w:w="0" w:type="dxa"/>
            </w:tcMar>
            <w:vAlign w:val="center"/>
            <w:hideMark/>
          </w:tcPr>
          <w:p w14:paraId="76151371" w14:textId="77777777" w:rsidR="00EB4E9E" w:rsidRPr="00306F7C" w:rsidRDefault="00EB4E9E" w:rsidP="00EB4E9E">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Carlos A. Rodriguez</w:t>
            </w:r>
          </w:p>
        </w:tc>
        <w:tc>
          <w:tcPr>
            <w:tcW w:w="1448" w:type="dxa"/>
            <w:tcBorders>
              <w:bottom w:val="single" w:sz="6" w:space="0" w:color="0075C9"/>
            </w:tcBorders>
            <w:noWrap/>
            <w:tcMar>
              <w:top w:w="0" w:type="dxa"/>
              <w:left w:w="144" w:type="dxa"/>
              <w:bottom w:w="0" w:type="dxa"/>
              <w:right w:w="0" w:type="dxa"/>
            </w:tcMar>
            <w:vAlign w:val="bottom"/>
            <w:hideMark/>
          </w:tcPr>
          <w:p w14:paraId="2197C938" w14:textId="77777777" w:rsidR="00EB4E9E" w:rsidRDefault="00EB4E9E" w:rsidP="00EB4E9E">
            <w:pPr>
              <w:jc w:val="center"/>
              <w:rPr>
                <w:rFonts w:ascii="Arial" w:hAnsi="Arial" w:cs="Arial"/>
                <w:sz w:val="18"/>
                <w:szCs w:val="18"/>
              </w:rPr>
            </w:pPr>
            <w:r>
              <w:rPr>
                <w:rFonts w:ascii="Arial" w:hAnsi="Arial" w:cs="Arial"/>
                <w:sz w:val="18"/>
                <w:szCs w:val="18"/>
              </w:rPr>
              <w:t>Financial Expert</w:t>
            </w:r>
          </w:p>
          <w:p w14:paraId="570F23DD" w14:textId="77777777" w:rsidR="00EB4E9E" w:rsidRPr="00306F7C" w:rsidRDefault="00EB4E9E" w:rsidP="00EB4E9E">
            <w:pPr>
              <w:pStyle w:val="NormalWeb"/>
              <w:spacing w:before="0" w:beforeAutospacing="0" w:after="20" w:afterAutospacing="0"/>
              <w:jc w:val="center"/>
              <w:rPr>
                <w:rFonts w:ascii="Arial" w:hAnsi="Arial" w:cs="Arial"/>
                <w:sz w:val="18"/>
                <w:szCs w:val="18"/>
              </w:rPr>
            </w:pPr>
            <w:r>
              <w:rPr>
                <w:rFonts w:ascii="Arial" w:hAnsi="Arial" w:cs="Arial"/>
                <w:sz w:val="18"/>
                <w:szCs w:val="18"/>
              </w:rPr>
              <w:t>and Member</w:t>
            </w:r>
          </w:p>
        </w:tc>
        <w:tc>
          <w:tcPr>
            <w:tcW w:w="1474" w:type="dxa"/>
            <w:tcBorders>
              <w:bottom w:val="single" w:sz="6" w:space="0" w:color="0075C9"/>
            </w:tcBorders>
            <w:noWrap/>
            <w:tcMar>
              <w:top w:w="0" w:type="dxa"/>
              <w:left w:w="144" w:type="dxa"/>
              <w:bottom w:w="0" w:type="dxa"/>
              <w:right w:w="0" w:type="dxa"/>
            </w:tcMar>
            <w:vAlign w:val="bottom"/>
            <w:hideMark/>
          </w:tcPr>
          <w:p w14:paraId="7ADFA9CD" w14:textId="77777777" w:rsidR="00EB4E9E" w:rsidRDefault="00EB4E9E" w:rsidP="00EB4E9E">
            <w:pPr>
              <w:jc w:val="center"/>
              <w:rPr>
                <w:rFonts w:ascii="Arial" w:hAnsi="Arial" w:cs="Arial"/>
                <w:sz w:val="18"/>
                <w:szCs w:val="18"/>
              </w:rPr>
            </w:pPr>
            <w:r>
              <w:rPr>
                <w:rFonts w:ascii="Arial" w:hAnsi="Arial" w:cs="Arial"/>
                <w:sz w:val="18"/>
                <w:szCs w:val="18"/>
              </w:rPr>
              <w:t>Chair</w:t>
            </w:r>
          </w:p>
        </w:tc>
        <w:tc>
          <w:tcPr>
            <w:tcW w:w="2076" w:type="dxa"/>
            <w:tcBorders>
              <w:bottom w:val="single" w:sz="6" w:space="0" w:color="0075C9"/>
            </w:tcBorders>
            <w:noWrap/>
            <w:tcMar>
              <w:top w:w="0" w:type="dxa"/>
              <w:left w:w="144" w:type="dxa"/>
              <w:bottom w:w="0" w:type="dxa"/>
              <w:right w:w="0" w:type="dxa"/>
            </w:tcMar>
            <w:vAlign w:val="bottom"/>
            <w:hideMark/>
          </w:tcPr>
          <w:p w14:paraId="7182197A" w14:textId="3502F092"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1590" w:type="dxa"/>
            <w:tcBorders>
              <w:bottom w:val="single" w:sz="6" w:space="0" w:color="0075C9"/>
            </w:tcBorders>
            <w:noWrap/>
            <w:tcMar>
              <w:top w:w="0" w:type="dxa"/>
              <w:left w:w="144" w:type="dxa"/>
              <w:bottom w:w="0" w:type="dxa"/>
              <w:right w:w="0" w:type="dxa"/>
            </w:tcMar>
            <w:vAlign w:val="bottom"/>
            <w:hideMark/>
          </w:tcPr>
          <w:p w14:paraId="27184ED7" w14:textId="4CD3E269"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r>
      <w:tr w:rsidR="00EB4E9E" w14:paraId="5C0A1386" w14:textId="77777777" w:rsidTr="00FE0A0A">
        <w:trPr>
          <w:cantSplit/>
        </w:trPr>
        <w:tc>
          <w:tcPr>
            <w:tcW w:w="4212" w:type="dxa"/>
            <w:tcBorders>
              <w:bottom w:val="single" w:sz="6" w:space="0" w:color="0075C9"/>
            </w:tcBorders>
            <w:tcMar>
              <w:top w:w="0" w:type="dxa"/>
              <w:left w:w="0" w:type="dxa"/>
              <w:bottom w:w="40" w:type="dxa"/>
              <w:right w:w="0" w:type="dxa"/>
            </w:tcMar>
            <w:hideMark/>
          </w:tcPr>
          <w:p w14:paraId="7B6D399D" w14:textId="77777777" w:rsidR="00EB4E9E" w:rsidRPr="00306F7C" w:rsidRDefault="00EB4E9E" w:rsidP="00EB4E9E">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Charles W. Scharf</w:t>
            </w:r>
          </w:p>
        </w:tc>
        <w:tc>
          <w:tcPr>
            <w:tcW w:w="1448" w:type="dxa"/>
            <w:tcBorders>
              <w:bottom w:val="single" w:sz="6" w:space="0" w:color="0075C9"/>
            </w:tcBorders>
            <w:noWrap/>
            <w:tcMar>
              <w:top w:w="0" w:type="dxa"/>
              <w:left w:w="144" w:type="dxa"/>
              <w:bottom w:w="0" w:type="dxa"/>
              <w:right w:w="0" w:type="dxa"/>
            </w:tcMar>
            <w:vAlign w:val="bottom"/>
            <w:hideMark/>
          </w:tcPr>
          <w:p w14:paraId="28482AA2" w14:textId="33A682F8"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1474" w:type="dxa"/>
            <w:tcBorders>
              <w:bottom w:val="single" w:sz="6" w:space="0" w:color="0075C9"/>
            </w:tcBorders>
            <w:noWrap/>
            <w:tcMar>
              <w:top w:w="0" w:type="dxa"/>
              <w:left w:w="144" w:type="dxa"/>
              <w:bottom w:w="0" w:type="dxa"/>
              <w:right w:w="0" w:type="dxa"/>
            </w:tcMar>
            <w:vAlign w:val="bottom"/>
            <w:hideMark/>
          </w:tcPr>
          <w:p w14:paraId="73984039" w14:textId="77777777" w:rsidR="00EB4E9E" w:rsidRDefault="00EB4E9E" w:rsidP="00EB4E9E">
            <w:pPr>
              <w:jc w:val="center"/>
              <w:rPr>
                <w:rFonts w:ascii="Arial" w:hAnsi="Arial" w:cs="Arial"/>
                <w:sz w:val="18"/>
                <w:szCs w:val="18"/>
              </w:rPr>
            </w:pPr>
            <w:r>
              <w:rPr>
                <w:rFonts w:ascii="Arial" w:hAnsi="Arial" w:cs="Arial"/>
                <w:sz w:val="18"/>
                <w:szCs w:val="18"/>
              </w:rPr>
              <w:t>Member</w:t>
            </w:r>
          </w:p>
        </w:tc>
        <w:tc>
          <w:tcPr>
            <w:tcW w:w="2076" w:type="dxa"/>
            <w:tcBorders>
              <w:bottom w:val="single" w:sz="6" w:space="0" w:color="0075C9"/>
            </w:tcBorders>
            <w:noWrap/>
            <w:tcMar>
              <w:top w:w="0" w:type="dxa"/>
              <w:left w:w="144" w:type="dxa"/>
              <w:bottom w:w="0" w:type="dxa"/>
              <w:right w:w="0" w:type="dxa"/>
            </w:tcMar>
            <w:vAlign w:val="bottom"/>
            <w:hideMark/>
          </w:tcPr>
          <w:p w14:paraId="32E4AD77" w14:textId="5A17F6C3" w:rsidR="00EB4E9E" w:rsidRDefault="00EB4E9E" w:rsidP="00EB4E9E">
            <w:pPr>
              <w:rPr>
                <w:rFonts w:ascii="Arial" w:hAnsi="Arial" w:cs="Arial"/>
                <w:sz w:val="18"/>
                <w:szCs w:val="18"/>
              </w:rPr>
            </w:pPr>
            <w:r w:rsidRPr="0022689D">
              <w:rPr>
                <w:rFonts w:ascii="Arial" w:hAnsi="Arial" w:cs="Arial"/>
                <w:color w:val="FFFFFF" w:themeColor="background1"/>
                <w:sz w:val="18"/>
                <w:szCs w:val="18"/>
              </w:rPr>
              <w:t>NA</w:t>
            </w:r>
          </w:p>
        </w:tc>
        <w:tc>
          <w:tcPr>
            <w:tcW w:w="1590" w:type="dxa"/>
            <w:tcBorders>
              <w:bottom w:val="single" w:sz="6" w:space="0" w:color="0075C9"/>
            </w:tcBorders>
            <w:noWrap/>
            <w:tcMar>
              <w:top w:w="0" w:type="dxa"/>
              <w:left w:w="144" w:type="dxa"/>
              <w:bottom w:w="0" w:type="dxa"/>
              <w:right w:w="0" w:type="dxa"/>
            </w:tcMar>
            <w:vAlign w:val="bottom"/>
            <w:hideMark/>
          </w:tcPr>
          <w:p w14:paraId="09DF714C" w14:textId="77777777" w:rsidR="00EB4E9E" w:rsidRDefault="00EB4E9E" w:rsidP="00EB4E9E">
            <w:pPr>
              <w:jc w:val="center"/>
              <w:rPr>
                <w:rFonts w:ascii="Arial" w:hAnsi="Arial" w:cs="Arial"/>
                <w:sz w:val="18"/>
                <w:szCs w:val="18"/>
              </w:rPr>
            </w:pPr>
            <w:r>
              <w:rPr>
                <w:rFonts w:ascii="Arial" w:hAnsi="Arial" w:cs="Arial"/>
                <w:sz w:val="18"/>
                <w:szCs w:val="18"/>
              </w:rPr>
              <w:t>Member</w:t>
            </w:r>
            <w:r>
              <w:rPr>
                <w:rFonts w:ascii="Arial" w:hAnsi="Arial" w:cs="Arial"/>
                <w:sz w:val="18"/>
                <w:szCs w:val="18"/>
              </w:rPr>
              <w:t> </w:t>
            </w:r>
          </w:p>
        </w:tc>
      </w:tr>
      <w:tr w:rsidR="00EB4E9E" w14:paraId="7D58C27C" w14:textId="77777777" w:rsidTr="00FE0A0A">
        <w:trPr>
          <w:cantSplit/>
        </w:trPr>
        <w:tc>
          <w:tcPr>
            <w:tcW w:w="4212" w:type="dxa"/>
            <w:tcBorders>
              <w:bottom w:val="single" w:sz="6" w:space="0" w:color="0075C9"/>
            </w:tcBorders>
            <w:tcMar>
              <w:top w:w="0" w:type="dxa"/>
              <w:left w:w="0" w:type="dxa"/>
              <w:bottom w:w="40" w:type="dxa"/>
              <w:right w:w="0" w:type="dxa"/>
            </w:tcMar>
            <w:hideMark/>
          </w:tcPr>
          <w:p w14:paraId="28EC78FD" w14:textId="77777777" w:rsidR="00EB4E9E" w:rsidRPr="00306F7C" w:rsidRDefault="00EB4E9E" w:rsidP="00EB4E9E">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Stanton</w:t>
            </w:r>
          </w:p>
        </w:tc>
        <w:tc>
          <w:tcPr>
            <w:tcW w:w="1448" w:type="dxa"/>
            <w:tcBorders>
              <w:bottom w:val="single" w:sz="6" w:space="0" w:color="0075C9"/>
            </w:tcBorders>
            <w:noWrap/>
            <w:tcMar>
              <w:top w:w="0" w:type="dxa"/>
              <w:left w:w="144" w:type="dxa"/>
              <w:bottom w:w="0" w:type="dxa"/>
              <w:right w:w="0" w:type="dxa"/>
            </w:tcMar>
            <w:vAlign w:val="bottom"/>
            <w:hideMark/>
          </w:tcPr>
          <w:p w14:paraId="12EA456C" w14:textId="77777777" w:rsidR="00EB4E9E" w:rsidRDefault="00EB4E9E" w:rsidP="00EB4E9E">
            <w:pPr>
              <w:jc w:val="center"/>
              <w:rPr>
                <w:rFonts w:ascii="Arial" w:hAnsi="Arial" w:cs="Arial"/>
                <w:sz w:val="18"/>
                <w:szCs w:val="18"/>
              </w:rPr>
            </w:pPr>
            <w:r>
              <w:rPr>
                <w:rFonts w:ascii="Arial" w:hAnsi="Arial" w:cs="Arial"/>
                <w:sz w:val="18"/>
                <w:szCs w:val="18"/>
              </w:rPr>
              <w:t>Member</w:t>
            </w:r>
          </w:p>
        </w:tc>
        <w:tc>
          <w:tcPr>
            <w:tcW w:w="1474" w:type="dxa"/>
            <w:tcBorders>
              <w:bottom w:val="single" w:sz="6" w:space="0" w:color="0075C9"/>
            </w:tcBorders>
            <w:noWrap/>
            <w:tcMar>
              <w:top w:w="0" w:type="dxa"/>
              <w:left w:w="144" w:type="dxa"/>
              <w:bottom w:w="0" w:type="dxa"/>
              <w:right w:w="0" w:type="dxa"/>
            </w:tcMar>
            <w:vAlign w:val="bottom"/>
            <w:hideMark/>
          </w:tcPr>
          <w:p w14:paraId="40760CF6" w14:textId="79CB6D78" w:rsidR="00EB4E9E" w:rsidRPr="0022689D" w:rsidRDefault="00EB4E9E" w:rsidP="0022689D">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2076" w:type="dxa"/>
            <w:tcBorders>
              <w:bottom w:val="single" w:sz="6" w:space="0" w:color="0075C9"/>
            </w:tcBorders>
            <w:noWrap/>
            <w:tcMar>
              <w:top w:w="0" w:type="dxa"/>
              <w:left w:w="144" w:type="dxa"/>
              <w:bottom w:w="0" w:type="dxa"/>
              <w:right w:w="0" w:type="dxa"/>
            </w:tcMar>
            <w:vAlign w:val="bottom"/>
            <w:hideMark/>
          </w:tcPr>
          <w:p w14:paraId="0BDC1336" w14:textId="77777777" w:rsidR="00EB4E9E" w:rsidRDefault="00EB4E9E" w:rsidP="00EB4E9E">
            <w:pPr>
              <w:jc w:val="center"/>
              <w:rPr>
                <w:rFonts w:ascii="Arial" w:hAnsi="Arial" w:cs="Arial"/>
                <w:sz w:val="18"/>
                <w:szCs w:val="18"/>
              </w:rPr>
            </w:pPr>
            <w:r>
              <w:rPr>
                <w:rFonts w:ascii="Arial" w:hAnsi="Arial" w:cs="Arial"/>
                <w:sz w:val="18"/>
                <w:szCs w:val="18"/>
              </w:rPr>
              <w:t>Member</w:t>
            </w:r>
          </w:p>
        </w:tc>
        <w:tc>
          <w:tcPr>
            <w:tcW w:w="1590" w:type="dxa"/>
            <w:tcBorders>
              <w:bottom w:val="single" w:sz="6" w:space="0" w:color="0075C9"/>
            </w:tcBorders>
            <w:noWrap/>
            <w:tcMar>
              <w:top w:w="0" w:type="dxa"/>
              <w:left w:w="144" w:type="dxa"/>
              <w:bottom w:w="0" w:type="dxa"/>
              <w:right w:w="0" w:type="dxa"/>
            </w:tcMar>
            <w:vAlign w:val="bottom"/>
            <w:hideMark/>
          </w:tcPr>
          <w:p w14:paraId="14D9A9EE" w14:textId="101B474A" w:rsidR="00EB4E9E" w:rsidRPr="0022689D" w:rsidRDefault="00EB4E9E" w:rsidP="0022689D">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r>
      <w:tr w:rsidR="00EB4E9E" w14:paraId="526BE23D" w14:textId="77777777" w:rsidTr="00FE0A0A">
        <w:trPr>
          <w:cantSplit/>
        </w:trPr>
        <w:tc>
          <w:tcPr>
            <w:tcW w:w="4212" w:type="dxa"/>
            <w:tcBorders>
              <w:bottom w:val="single" w:sz="6" w:space="0" w:color="0075C9"/>
            </w:tcBorders>
            <w:tcMar>
              <w:top w:w="0" w:type="dxa"/>
              <w:left w:w="0" w:type="dxa"/>
              <w:bottom w:w="40" w:type="dxa"/>
              <w:right w:w="0" w:type="dxa"/>
            </w:tcMar>
            <w:hideMark/>
          </w:tcPr>
          <w:p w14:paraId="1A489773" w14:textId="77777777" w:rsidR="00EB4E9E" w:rsidRPr="00306F7C" w:rsidRDefault="00EB4E9E" w:rsidP="00EB4E9E">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Thompson*</w:t>
            </w:r>
          </w:p>
        </w:tc>
        <w:tc>
          <w:tcPr>
            <w:tcW w:w="1448" w:type="dxa"/>
            <w:tcBorders>
              <w:bottom w:val="single" w:sz="6" w:space="0" w:color="0075C9"/>
            </w:tcBorders>
            <w:noWrap/>
            <w:tcMar>
              <w:top w:w="0" w:type="dxa"/>
              <w:left w:w="144" w:type="dxa"/>
              <w:bottom w:w="0" w:type="dxa"/>
              <w:right w:w="0" w:type="dxa"/>
            </w:tcMar>
            <w:vAlign w:val="bottom"/>
            <w:hideMark/>
          </w:tcPr>
          <w:p w14:paraId="6DE6CAC6" w14:textId="7EA61FB5"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1474" w:type="dxa"/>
            <w:tcBorders>
              <w:bottom w:val="single" w:sz="6" w:space="0" w:color="0075C9"/>
            </w:tcBorders>
            <w:noWrap/>
            <w:tcMar>
              <w:top w:w="0" w:type="dxa"/>
              <w:left w:w="144" w:type="dxa"/>
              <w:bottom w:w="0" w:type="dxa"/>
              <w:right w:w="0" w:type="dxa"/>
            </w:tcMar>
            <w:vAlign w:val="bottom"/>
            <w:hideMark/>
          </w:tcPr>
          <w:p w14:paraId="49FE1061" w14:textId="0C339985"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2076" w:type="dxa"/>
            <w:tcBorders>
              <w:bottom w:val="single" w:sz="6" w:space="0" w:color="0075C9"/>
            </w:tcBorders>
            <w:noWrap/>
            <w:tcMar>
              <w:top w:w="0" w:type="dxa"/>
              <w:left w:w="144" w:type="dxa"/>
              <w:bottom w:w="0" w:type="dxa"/>
              <w:right w:w="0" w:type="dxa"/>
            </w:tcMar>
            <w:vAlign w:val="bottom"/>
            <w:hideMark/>
          </w:tcPr>
          <w:p w14:paraId="32C73C38" w14:textId="77777777" w:rsidR="00EB4E9E" w:rsidRDefault="00EB4E9E" w:rsidP="00EB4E9E">
            <w:pPr>
              <w:jc w:val="center"/>
              <w:rPr>
                <w:rFonts w:ascii="Arial" w:hAnsi="Arial" w:cs="Arial"/>
                <w:sz w:val="18"/>
                <w:szCs w:val="18"/>
              </w:rPr>
            </w:pPr>
            <w:r>
              <w:rPr>
                <w:rFonts w:ascii="Arial" w:hAnsi="Arial" w:cs="Arial"/>
                <w:sz w:val="18"/>
                <w:szCs w:val="18"/>
              </w:rPr>
              <w:t>Member</w:t>
            </w:r>
          </w:p>
        </w:tc>
        <w:tc>
          <w:tcPr>
            <w:tcW w:w="1590" w:type="dxa"/>
            <w:tcBorders>
              <w:bottom w:val="single" w:sz="6" w:space="0" w:color="0075C9"/>
            </w:tcBorders>
            <w:noWrap/>
            <w:tcMar>
              <w:top w:w="0" w:type="dxa"/>
              <w:left w:w="144" w:type="dxa"/>
              <w:bottom w:w="0" w:type="dxa"/>
              <w:right w:w="0" w:type="dxa"/>
            </w:tcMar>
            <w:vAlign w:val="bottom"/>
            <w:hideMark/>
          </w:tcPr>
          <w:p w14:paraId="205E0829" w14:textId="77777777" w:rsidR="00EB4E9E" w:rsidRDefault="00EB4E9E" w:rsidP="00EB4E9E">
            <w:pPr>
              <w:jc w:val="center"/>
              <w:rPr>
                <w:rFonts w:ascii="Arial" w:hAnsi="Arial" w:cs="Arial"/>
                <w:sz w:val="18"/>
                <w:szCs w:val="18"/>
              </w:rPr>
            </w:pPr>
            <w:r>
              <w:rPr>
                <w:rFonts w:ascii="Arial" w:hAnsi="Arial" w:cs="Arial"/>
                <w:sz w:val="18"/>
                <w:szCs w:val="18"/>
              </w:rPr>
              <w:t>Member</w:t>
            </w:r>
            <w:r>
              <w:rPr>
                <w:rFonts w:ascii="Arial" w:hAnsi="Arial" w:cs="Arial"/>
                <w:sz w:val="18"/>
                <w:szCs w:val="18"/>
              </w:rPr>
              <w:t> </w:t>
            </w:r>
          </w:p>
        </w:tc>
      </w:tr>
      <w:tr w:rsidR="00EB4E9E" w14:paraId="06233498" w14:textId="77777777" w:rsidTr="00FE0A0A">
        <w:trPr>
          <w:cantSplit/>
        </w:trPr>
        <w:tc>
          <w:tcPr>
            <w:tcW w:w="4212" w:type="dxa"/>
            <w:tcBorders>
              <w:bottom w:val="single" w:sz="6" w:space="0" w:color="0075C9"/>
            </w:tcBorders>
            <w:tcMar>
              <w:top w:w="0" w:type="dxa"/>
              <w:left w:w="0" w:type="dxa"/>
              <w:bottom w:w="40" w:type="dxa"/>
              <w:right w:w="0" w:type="dxa"/>
            </w:tcMar>
            <w:hideMark/>
          </w:tcPr>
          <w:p w14:paraId="39980156" w14:textId="77777777" w:rsidR="00EB4E9E" w:rsidRPr="00306F7C" w:rsidRDefault="00EB4E9E" w:rsidP="00EB4E9E">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Emma N. Walmsley</w:t>
            </w:r>
          </w:p>
        </w:tc>
        <w:tc>
          <w:tcPr>
            <w:tcW w:w="1448" w:type="dxa"/>
            <w:tcBorders>
              <w:bottom w:val="single" w:sz="6" w:space="0" w:color="0075C9"/>
            </w:tcBorders>
            <w:noWrap/>
            <w:tcMar>
              <w:top w:w="0" w:type="dxa"/>
              <w:left w:w="144" w:type="dxa"/>
              <w:bottom w:w="0" w:type="dxa"/>
              <w:right w:w="0" w:type="dxa"/>
            </w:tcMar>
            <w:vAlign w:val="bottom"/>
            <w:hideMark/>
          </w:tcPr>
          <w:p w14:paraId="17780075" w14:textId="461B649B"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1474" w:type="dxa"/>
            <w:tcBorders>
              <w:bottom w:val="single" w:sz="6" w:space="0" w:color="0075C9"/>
            </w:tcBorders>
            <w:noWrap/>
            <w:tcMar>
              <w:top w:w="0" w:type="dxa"/>
              <w:left w:w="144" w:type="dxa"/>
              <w:bottom w:w="0" w:type="dxa"/>
              <w:right w:w="0" w:type="dxa"/>
            </w:tcMar>
            <w:vAlign w:val="bottom"/>
            <w:hideMark/>
          </w:tcPr>
          <w:p w14:paraId="71B65587" w14:textId="77777777" w:rsidR="00EB4E9E" w:rsidRDefault="00EB4E9E" w:rsidP="00EB4E9E">
            <w:pPr>
              <w:jc w:val="center"/>
              <w:rPr>
                <w:rFonts w:ascii="Arial" w:hAnsi="Arial" w:cs="Arial"/>
                <w:sz w:val="18"/>
                <w:szCs w:val="18"/>
              </w:rPr>
            </w:pPr>
            <w:r>
              <w:rPr>
                <w:rFonts w:ascii="Arial" w:hAnsi="Arial" w:cs="Arial"/>
                <w:sz w:val="18"/>
                <w:szCs w:val="18"/>
              </w:rPr>
              <w:t>Member</w:t>
            </w:r>
          </w:p>
        </w:tc>
        <w:tc>
          <w:tcPr>
            <w:tcW w:w="2076" w:type="dxa"/>
            <w:tcBorders>
              <w:bottom w:val="single" w:sz="6" w:space="0" w:color="0075C9"/>
            </w:tcBorders>
            <w:noWrap/>
            <w:tcMar>
              <w:top w:w="0" w:type="dxa"/>
              <w:left w:w="144" w:type="dxa"/>
              <w:bottom w:w="0" w:type="dxa"/>
              <w:right w:w="0" w:type="dxa"/>
            </w:tcMar>
            <w:vAlign w:val="bottom"/>
            <w:hideMark/>
          </w:tcPr>
          <w:p w14:paraId="7AFC11C1" w14:textId="77777777" w:rsidR="00EB4E9E" w:rsidRDefault="00EB4E9E" w:rsidP="00EB4E9E">
            <w:pPr>
              <w:jc w:val="center"/>
              <w:rPr>
                <w:rFonts w:ascii="Arial" w:hAnsi="Arial" w:cs="Arial"/>
                <w:sz w:val="18"/>
                <w:szCs w:val="18"/>
              </w:rPr>
            </w:pPr>
            <w:r>
              <w:rPr>
                <w:rFonts w:ascii="Arial" w:hAnsi="Arial" w:cs="Arial"/>
                <w:sz w:val="18"/>
                <w:szCs w:val="18"/>
              </w:rPr>
              <w:t>Member</w:t>
            </w:r>
          </w:p>
        </w:tc>
        <w:tc>
          <w:tcPr>
            <w:tcW w:w="1590" w:type="dxa"/>
            <w:tcBorders>
              <w:bottom w:val="single" w:sz="6" w:space="0" w:color="0075C9"/>
            </w:tcBorders>
            <w:noWrap/>
            <w:tcMar>
              <w:top w:w="0" w:type="dxa"/>
              <w:left w:w="144" w:type="dxa"/>
              <w:bottom w:w="0" w:type="dxa"/>
              <w:right w:w="0" w:type="dxa"/>
            </w:tcMar>
            <w:vAlign w:val="bottom"/>
            <w:hideMark/>
          </w:tcPr>
          <w:p w14:paraId="334200BD" w14:textId="300F99CC" w:rsidR="00EB4E9E" w:rsidRPr="0022689D" w:rsidRDefault="00EB4E9E" w:rsidP="0022689D">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r>
      <w:tr w:rsidR="00EB4E9E" w14:paraId="1CD6B121" w14:textId="77777777" w:rsidTr="00FE0A0A">
        <w:trPr>
          <w:cantSplit/>
        </w:trPr>
        <w:tc>
          <w:tcPr>
            <w:tcW w:w="4212" w:type="dxa"/>
            <w:tcBorders>
              <w:bottom w:val="single" w:sz="6" w:space="0" w:color="0075C9"/>
            </w:tcBorders>
            <w:tcMar>
              <w:top w:w="0" w:type="dxa"/>
              <w:left w:w="0" w:type="dxa"/>
              <w:bottom w:w="40" w:type="dxa"/>
              <w:right w:w="0" w:type="dxa"/>
            </w:tcMar>
            <w:hideMark/>
          </w:tcPr>
          <w:p w14:paraId="21E313D1" w14:textId="77777777" w:rsidR="00EB4E9E" w:rsidRPr="00306F7C" w:rsidRDefault="00EB4E9E" w:rsidP="00EB4E9E">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Padmasree Warrior*</w:t>
            </w:r>
          </w:p>
        </w:tc>
        <w:tc>
          <w:tcPr>
            <w:tcW w:w="1448" w:type="dxa"/>
            <w:tcBorders>
              <w:bottom w:val="single" w:sz="6" w:space="0" w:color="0075C9"/>
            </w:tcBorders>
            <w:noWrap/>
            <w:tcMar>
              <w:top w:w="0" w:type="dxa"/>
              <w:left w:w="144" w:type="dxa"/>
              <w:bottom w:w="0" w:type="dxa"/>
              <w:right w:w="0" w:type="dxa"/>
            </w:tcMar>
            <w:vAlign w:val="bottom"/>
            <w:hideMark/>
          </w:tcPr>
          <w:p w14:paraId="1F7BFC5D" w14:textId="23EF5FE8" w:rsidR="00EB4E9E" w:rsidRPr="0022689D" w:rsidRDefault="00EB4E9E" w:rsidP="00EB4E9E">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1474" w:type="dxa"/>
            <w:tcBorders>
              <w:bottom w:val="single" w:sz="6" w:space="0" w:color="0075C9"/>
            </w:tcBorders>
            <w:noWrap/>
            <w:tcMar>
              <w:top w:w="0" w:type="dxa"/>
              <w:left w:w="144" w:type="dxa"/>
              <w:bottom w:w="0" w:type="dxa"/>
              <w:right w:w="0" w:type="dxa"/>
            </w:tcMar>
            <w:vAlign w:val="bottom"/>
            <w:hideMark/>
          </w:tcPr>
          <w:p w14:paraId="728D418A" w14:textId="77777777" w:rsidR="00EB4E9E" w:rsidRDefault="00EB4E9E" w:rsidP="00EB4E9E">
            <w:pPr>
              <w:jc w:val="center"/>
              <w:rPr>
                <w:rFonts w:ascii="Arial" w:hAnsi="Arial" w:cs="Arial"/>
                <w:sz w:val="18"/>
                <w:szCs w:val="18"/>
              </w:rPr>
            </w:pPr>
            <w:r>
              <w:rPr>
                <w:rFonts w:ascii="Arial" w:hAnsi="Arial" w:cs="Arial"/>
                <w:sz w:val="18"/>
                <w:szCs w:val="18"/>
              </w:rPr>
              <w:t>Member</w:t>
            </w:r>
          </w:p>
        </w:tc>
        <w:tc>
          <w:tcPr>
            <w:tcW w:w="2076" w:type="dxa"/>
            <w:tcBorders>
              <w:bottom w:val="single" w:sz="6" w:space="0" w:color="0075C9"/>
            </w:tcBorders>
            <w:noWrap/>
            <w:tcMar>
              <w:top w:w="0" w:type="dxa"/>
              <w:left w:w="144" w:type="dxa"/>
              <w:bottom w:w="0" w:type="dxa"/>
              <w:right w:w="0" w:type="dxa"/>
            </w:tcMar>
            <w:vAlign w:val="bottom"/>
            <w:hideMark/>
          </w:tcPr>
          <w:p w14:paraId="30184F75" w14:textId="4A551E16" w:rsidR="00EB4E9E" w:rsidRPr="0022689D" w:rsidRDefault="00EB4E9E" w:rsidP="0022689D">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c>
          <w:tcPr>
            <w:tcW w:w="1590" w:type="dxa"/>
            <w:tcBorders>
              <w:bottom w:val="single" w:sz="6" w:space="0" w:color="0075C9"/>
            </w:tcBorders>
            <w:noWrap/>
            <w:tcMar>
              <w:top w:w="0" w:type="dxa"/>
              <w:left w:w="144" w:type="dxa"/>
              <w:bottom w:w="0" w:type="dxa"/>
              <w:right w:w="0" w:type="dxa"/>
            </w:tcMar>
            <w:vAlign w:val="bottom"/>
            <w:hideMark/>
          </w:tcPr>
          <w:p w14:paraId="2FAD0CF4" w14:textId="618BE8BF" w:rsidR="00EB4E9E" w:rsidRPr="0022689D" w:rsidRDefault="00EB4E9E" w:rsidP="0022689D">
            <w:pPr>
              <w:rPr>
                <w:rFonts w:ascii="Arial" w:hAnsi="Arial" w:cs="Arial"/>
                <w:color w:val="FFFFFF" w:themeColor="background1"/>
                <w:sz w:val="18"/>
                <w:szCs w:val="18"/>
              </w:rPr>
            </w:pPr>
            <w:r w:rsidRPr="0022689D">
              <w:rPr>
                <w:rFonts w:ascii="Arial" w:hAnsi="Arial" w:cs="Arial"/>
                <w:color w:val="FFFFFF" w:themeColor="background1"/>
                <w:sz w:val="18"/>
                <w:szCs w:val="18"/>
              </w:rPr>
              <w:t>NA</w:t>
            </w:r>
          </w:p>
        </w:tc>
      </w:tr>
      <w:tr w:rsidR="00EB4E9E" w14:paraId="4E23F0B9" w14:textId="77777777" w:rsidTr="00FE0A0A">
        <w:trPr>
          <w:cantSplit/>
        </w:trPr>
        <w:tc>
          <w:tcPr>
            <w:tcW w:w="4212" w:type="dxa"/>
            <w:tcBorders>
              <w:bottom w:val="single" w:sz="6" w:space="0" w:color="0075C9"/>
            </w:tcBorders>
            <w:noWrap/>
            <w:tcMar>
              <w:top w:w="0" w:type="dxa"/>
              <w:left w:w="0" w:type="dxa"/>
              <w:bottom w:w="40" w:type="dxa"/>
              <w:right w:w="0" w:type="dxa"/>
            </w:tcMar>
            <w:hideMark/>
          </w:tcPr>
          <w:p w14:paraId="5EDAE769" w14:textId="77777777" w:rsidR="00EB4E9E" w:rsidRPr="00306F7C" w:rsidRDefault="00EB4E9E" w:rsidP="00EB4E9E">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Number of meetings in fiscal year 2023</w:t>
            </w:r>
          </w:p>
        </w:tc>
        <w:tc>
          <w:tcPr>
            <w:tcW w:w="1448" w:type="dxa"/>
            <w:tcBorders>
              <w:bottom w:val="single" w:sz="6" w:space="0" w:color="0075C9"/>
            </w:tcBorders>
            <w:noWrap/>
            <w:tcMar>
              <w:top w:w="0" w:type="dxa"/>
              <w:left w:w="144" w:type="dxa"/>
              <w:bottom w:w="0" w:type="dxa"/>
              <w:right w:w="0" w:type="dxa"/>
            </w:tcMar>
            <w:vAlign w:val="bottom"/>
            <w:hideMark/>
          </w:tcPr>
          <w:p w14:paraId="0EEC8B67" w14:textId="77777777" w:rsidR="00EB4E9E" w:rsidRDefault="00EB4E9E" w:rsidP="00EB4E9E">
            <w:pPr>
              <w:jc w:val="center"/>
              <w:rPr>
                <w:rFonts w:ascii="Arial" w:hAnsi="Arial" w:cs="Arial"/>
                <w:sz w:val="18"/>
                <w:szCs w:val="18"/>
              </w:rPr>
            </w:pPr>
            <w:r>
              <w:rPr>
                <w:rFonts w:ascii="Arial" w:hAnsi="Arial" w:cs="Arial"/>
                <w:sz w:val="18"/>
                <w:szCs w:val="18"/>
              </w:rPr>
              <w:t>9</w:t>
            </w:r>
          </w:p>
        </w:tc>
        <w:tc>
          <w:tcPr>
            <w:tcW w:w="1474" w:type="dxa"/>
            <w:tcBorders>
              <w:bottom w:val="single" w:sz="6" w:space="0" w:color="0075C9"/>
            </w:tcBorders>
            <w:noWrap/>
            <w:tcMar>
              <w:top w:w="0" w:type="dxa"/>
              <w:left w:w="144" w:type="dxa"/>
              <w:bottom w:w="0" w:type="dxa"/>
              <w:right w:w="0" w:type="dxa"/>
            </w:tcMar>
            <w:vAlign w:val="bottom"/>
            <w:hideMark/>
          </w:tcPr>
          <w:p w14:paraId="23ACA33F" w14:textId="77777777" w:rsidR="00EB4E9E" w:rsidRDefault="00EB4E9E" w:rsidP="00EB4E9E">
            <w:pPr>
              <w:jc w:val="center"/>
              <w:rPr>
                <w:rFonts w:ascii="Arial" w:hAnsi="Arial" w:cs="Arial"/>
                <w:sz w:val="18"/>
                <w:szCs w:val="18"/>
              </w:rPr>
            </w:pPr>
            <w:r>
              <w:rPr>
                <w:rFonts w:ascii="Arial" w:hAnsi="Arial" w:cs="Arial"/>
                <w:sz w:val="18"/>
                <w:szCs w:val="18"/>
              </w:rPr>
              <w:t>6</w:t>
            </w:r>
          </w:p>
        </w:tc>
        <w:tc>
          <w:tcPr>
            <w:tcW w:w="2076" w:type="dxa"/>
            <w:tcBorders>
              <w:bottom w:val="single" w:sz="6" w:space="0" w:color="0075C9"/>
            </w:tcBorders>
            <w:noWrap/>
            <w:tcMar>
              <w:top w:w="0" w:type="dxa"/>
              <w:left w:w="144" w:type="dxa"/>
              <w:bottom w:w="0" w:type="dxa"/>
              <w:right w:w="0" w:type="dxa"/>
            </w:tcMar>
            <w:vAlign w:val="bottom"/>
            <w:hideMark/>
          </w:tcPr>
          <w:p w14:paraId="30FF5D89" w14:textId="77777777" w:rsidR="00EB4E9E" w:rsidRDefault="00EB4E9E" w:rsidP="00EB4E9E">
            <w:pPr>
              <w:jc w:val="center"/>
              <w:rPr>
                <w:rFonts w:ascii="Arial" w:hAnsi="Arial" w:cs="Arial"/>
                <w:sz w:val="18"/>
                <w:szCs w:val="18"/>
              </w:rPr>
            </w:pPr>
            <w:r>
              <w:rPr>
                <w:rFonts w:ascii="Arial" w:hAnsi="Arial" w:cs="Arial"/>
                <w:sz w:val="18"/>
                <w:szCs w:val="18"/>
              </w:rPr>
              <w:t>4</w:t>
            </w:r>
          </w:p>
        </w:tc>
        <w:tc>
          <w:tcPr>
            <w:tcW w:w="1590" w:type="dxa"/>
            <w:tcBorders>
              <w:bottom w:val="single" w:sz="6" w:space="0" w:color="0075C9"/>
            </w:tcBorders>
            <w:noWrap/>
            <w:tcMar>
              <w:top w:w="0" w:type="dxa"/>
              <w:left w:w="144" w:type="dxa"/>
              <w:bottom w:w="0" w:type="dxa"/>
              <w:right w:w="0" w:type="dxa"/>
            </w:tcMar>
            <w:vAlign w:val="bottom"/>
            <w:hideMark/>
          </w:tcPr>
          <w:p w14:paraId="4FB42CB5" w14:textId="77777777" w:rsidR="00EB4E9E" w:rsidRDefault="00EB4E9E" w:rsidP="00EB4E9E">
            <w:pPr>
              <w:jc w:val="center"/>
              <w:rPr>
                <w:rFonts w:ascii="Arial" w:hAnsi="Arial" w:cs="Arial"/>
                <w:sz w:val="18"/>
                <w:szCs w:val="18"/>
              </w:rPr>
            </w:pPr>
            <w:r>
              <w:rPr>
                <w:rFonts w:ascii="Arial" w:hAnsi="Arial" w:cs="Arial"/>
                <w:sz w:val="18"/>
                <w:szCs w:val="18"/>
              </w:rPr>
              <w:t>7</w:t>
            </w:r>
            <w:r>
              <w:rPr>
                <w:rFonts w:ascii="Arial" w:hAnsi="Arial" w:cs="Arial"/>
                <w:sz w:val="18"/>
                <w:szCs w:val="18"/>
              </w:rPr>
              <w:t> </w:t>
            </w:r>
          </w:p>
        </w:tc>
      </w:tr>
    </w:tbl>
    <w:p w14:paraId="53D6C24C" w14:textId="77777777" w:rsidR="00D246A9" w:rsidRPr="00306F7C" w:rsidRDefault="00D246A9">
      <w:pPr>
        <w:pStyle w:val="NormalWeb"/>
        <w:spacing w:before="120" w:beforeAutospacing="0" w:after="0" w:afterAutospacing="0"/>
        <w:ind w:left="367" w:hanging="367"/>
        <w:rPr>
          <w:rFonts w:ascii="Arial" w:hAnsi="Arial" w:cs="Arial"/>
          <w:sz w:val="14"/>
          <w:szCs w:val="14"/>
        </w:rPr>
      </w:pPr>
      <w:r>
        <w:rPr>
          <w:rFonts w:ascii="Arial" w:hAnsi="Arial" w:cs="Arial"/>
          <w:sz w:val="14"/>
          <w:szCs w:val="14"/>
        </w:rPr>
        <w:t>*</w:t>
      </w:r>
      <w:r>
        <w:rPr>
          <w:rFonts w:ascii="Arial" w:hAnsi="Arial" w:cs="Arial"/>
          <w:sz w:val="14"/>
          <w:szCs w:val="14"/>
        </w:rPr>
        <w:tab/>
        <w:t xml:space="preserve">Mr. Thompson and Ms. Warrior will not seek re-election at the 2023 Annual Meeting. Catherine MacGregor and Mark Mason are both nominated for election to the Board at the Annual Meeting. The Board will consider committee appointments for Ms. MacGregor and Mr. Mason if they are elected to the Board. </w:t>
      </w:r>
    </w:p>
    <w:p w14:paraId="70E8B652" w14:textId="77777777" w:rsidR="00D246A9" w:rsidRDefault="00D246A9" w:rsidP="00212B0B">
      <w:pPr>
        <w:pStyle w:val="Heading5"/>
      </w:pPr>
      <w:r>
        <w:t xml:space="preserve">Audit Committee </w:t>
      </w:r>
    </w:p>
    <w:p w14:paraId="2AA76A64"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Oversee the work of our accounting function and internal control over financial reporting </w:t>
      </w:r>
    </w:p>
    <w:p w14:paraId="73A948E1"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Oversee internal auditing processes </w:t>
      </w:r>
    </w:p>
    <w:p w14:paraId="405DD5AD"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Inquire about significant risks, review our policies for enterprise risk assessment and risk management, and </w:t>
      </w:r>
      <w:proofErr w:type="gramStart"/>
      <w:r>
        <w:rPr>
          <w:rFonts w:ascii="Arial" w:hAnsi="Arial" w:cs="Arial"/>
          <w:sz w:val="18"/>
          <w:szCs w:val="18"/>
        </w:rPr>
        <w:t>except as</w:t>
      </w:r>
      <w:proofErr w:type="gramEnd"/>
      <w:r>
        <w:rPr>
          <w:rFonts w:ascii="Arial" w:hAnsi="Arial" w:cs="Arial"/>
          <w:sz w:val="18"/>
          <w:szCs w:val="18"/>
        </w:rPr>
        <w:t xml:space="preserve"> to those risks for which oversight has been assigned to other committees of the Board or retained by the Board, assess the steps management has taken to control these risks </w:t>
      </w:r>
    </w:p>
    <w:p w14:paraId="6ADB2416"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Review with management policies, practices, compliance, and risks relating to our investment portfolio </w:t>
      </w:r>
    </w:p>
    <w:p w14:paraId="740462D0"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Review with management the Company’s business continuity, resiliency, and disaster preparedness planning </w:t>
      </w:r>
    </w:p>
    <w:p w14:paraId="674FCB75"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Review compliance with significant applicable legal, ethical, and regulatory requirements, including those relating to regulatory matters that may have a material impact on our consolidated financial statements or internal control over financial reporting </w:t>
      </w:r>
    </w:p>
    <w:p w14:paraId="7B3D381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is responsible for the compensation, retention, and oversight of the independent auditor engaged to issue audit reports on our consolidated financial statements and internal control over financial reporting. The Audit Committee relies on the expertise and knowledge of management, the internal auditor, and the independent auditor in carrying out its oversight responsibilities. </w:t>
      </w:r>
    </w:p>
    <w:p w14:paraId="769ED75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has determined that each Audit Committee member has sufficient knowledge in financial and auditing matters to serve on the Audit Committee. All current members of the Audit Committee meet the Nasdaq listing standard of financial sophistication and three are “audit committee financial experts” under Securities and Exchange Commission (“SEC”) rules. </w:t>
      </w:r>
    </w:p>
    <w:p w14:paraId="46B771E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As provided in our Corporate Governance Guidelines, members of the Audit Committee ordinarily may not serve on over three public company audit committees (including Microsoft’s). In calculating service on a public company board or audit committee, service on a board or audit committee of a parent and its substantially-owned subsidiary counts as service on a single board or audit committee. Any Audit Committee member’s service on over three public company audit committees will be subject to the Board’s determination that the member is able to effectively serve on the Company’s Audit Committee. The Governance and Nominating Committee and the Board considered Ms. List’s service on four public company audit committees, including her professional qualifications, former experience as a public company chief financial officer, and the nature of and time involved in her service on other boards. Following such review, the Board determined that Ms. List is able to effectively continue to serve on the Company’s Audit Committee. </w:t>
      </w:r>
    </w:p>
    <w:p w14:paraId="06989FC8" w14:textId="77777777" w:rsidR="00D246A9" w:rsidRDefault="00D246A9" w:rsidP="00212B0B">
      <w:pPr>
        <w:pStyle w:val="Heading5"/>
      </w:pPr>
      <w:r>
        <w:t xml:space="preserve">Compensation Committee </w:t>
      </w:r>
    </w:p>
    <w:p w14:paraId="2836635F"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Assist our Board in establishing the annual goals and objectives of the CEO </w:t>
      </w:r>
    </w:p>
    <w:p w14:paraId="498EF154"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Establish the process for </w:t>
      </w:r>
      <w:proofErr w:type="gramStart"/>
      <w:r>
        <w:rPr>
          <w:rFonts w:ascii="Arial" w:hAnsi="Arial" w:cs="Arial"/>
          <w:sz w:val="18"/>
          <w:szCs w:val="18"/>
        </w:rPr>
        <w:t>annually</w:t>
      </w:r>
      <w:proofErr w:type="gramEnd"/>
      <w:r>
        <w:rPr>
          <w:rFonts w:ascii="Arial" w:hAnsi="Arial" w:cs="Arial"/>
          <w:sz w:val="18"/>
          <w:szCs w:val="18"/>
        </w:rPr>
        <w:t xml:space="preserve"> reviewing the CEO’s performance </w:t>
      </w:r>
    </w:p>
    <w:p w14:paraId="0BCCF7BD"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lastRenderedPageBreak/>
        <w:t>•</w:t>
      </w:r>
      <w:r>
        <w:rPr>
          <w:rFonts w:ascii="Arial" w:hAnsi="Arial" w:cs="Arial"/>
          <w:sz w:val="18"/>
          <w:szCs w:val="18"/>
        </w:rPr>
        <w:tab/>
        <w:t xml:space="preserve">Recommend our CEO’s compensation to the independent members of our Board for approval </w:t>
      </w:r>
    </w:p>
    <w:p w14:paraId="5148C76E"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Approve annual compensation, and in consultation with the CEO, oversee performance evaluations, for the non-CEO members of the SLT </w:t>
      </w:r>
    </w:p>
    <w:p w14:paraId="7017A285"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Review and discuss with the CEO and report to the Board development and corporate succession plans for the non-CEO members of the SLT </w:t>
      </w:r>
    </w:p>
    <w:p w14:paraId="55C2C72B"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Oversee administration of the Company’s equity-based compensation and retirement plans </w:t>
      </w:r>
    </w:p>
    <w:p w14:paraId="2C5FAA64"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Monitor and evaluate the compensation and benefits structure of Microsoft as the Committee deems appropriate, including policies regarding SLT compensation </w:t>
      </w:r>
    </w:p>
    <w:p w14:paraId="6D189C23"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Oversee and advise the Board and management about Company programs for diversity and inclusion and human capital management </w:t>
      </w:r>
    </w:p>
    <w:p w14:paraId="642AD470"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Periodically review the compensation paid to non-employee directors and make recommendations to our Board for any adjustments </w:t>
      </w:r>
    </w:p>
    <w:p w14:paraId="5A24B1EA"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Oversee the process and review the results of investigations of any sexual harassment complaints against senior officers. The Committee will report to the full Board on the conclusions of any investigation that results in a founded determination and the disciplinary and other actions taken </w:t>
      </w:r>
    </w:p>
    <w:p w14:paraId="4CCA470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senior executives for Human Resources support the Compensation Committee in its work. The Committee may delegate its authority to subcommittees and to one or more designated members of the Committee. The Committee may delegate to one or more executive officers the authority to make grants of equity-based compensation to eligible individuals who are not executive officers and to administer the Company’s equity-based compensation plans. The Committee has delegated to senior management the authority to make stock award grants to employees who are not members of the SLT or Section 16 officers and to administer the Company’s equity-based compensation plans. </w:t>
      </w:r>
    </w:p>
    <w:p w14:paraId="0714D741" w14:textId="77777777" w:rsidR="00D246A9" w:rsidRDefault="00D246A9">
      <w:pPr>
        <w:pStyle w:val="NormalWeb"/>
        <w:keepNext/>
        <w:spacing w:before="240" w:beforeAutospacing="0" w:after="0" w:afterAutospacing="0"/>
        <w:rPr>
          <w:rFonts w:ascii="Arial" w:hAnsi="Arial" w:cs="Arial"/>
          <w:sz w:val="18"/>
          <w:szCs w:val="18"/>
        </w:rPr>
      </w:pPr>
      <w:r>
        <w:rPr>
          <w:rFonts w:ascii="Arial" w:hAnsi="Arial" w:cs="Arial"/>
          <w:b/>
          <w:bCs/>
          <w:sz w:val="18"/>
          <w:szCs w:val="18"/>
        </w:rPr>
        <w:t>Independent compensation consultant</w:t>
      </w:r>
      <w:r>
        <w:rPr>
          <w:rFonts w:ascii="Arial" w:hAnsi="Arial" w:cs="Arial"/>
          <w:sz w:val="18"/>
          <w:szCs w:val="18"/>
        </w:rPr>
        <w:t xml:space="preserve">. The Compensation Committee retained Pay Governance LLC as an independent compensation consultant throughout fiscal year 2023. The consultant advises the Committee on marketplace trends in executive compensation, management proposals for compensation programs, and executive officer compensation decisions. The consultant also evaluates compensation for non-employee directors, the next levels of senior management, and equity compensation programs generally. The consultant discusses recommendations to the Board on CEO compensation with the Committee, and is directly accountable to the Committee. To maintain the independence of the consultant’s advice, the firm does not provide services to Microsoft other than those described above. The Committee has adopted Compensation Consultant Independence Standards which can be viewed on our website at </w:t>
      </w:r>
      <w:r>
        <w:rPr>
          <w:rFonts w:ascii="Arial" w:hAnsi="Arial" w:cs="Arial"/>
          <w:sz w:val="18"/>
          <w:szCs w:val="18"/>
          <w:u w:val="single"/>
        </w:rPr>
        <w:t>aka.ms/policiesandguidelines</w:t>
      </w:r>
      <w:r>
        <w:rPr>
          <w:rFonts w:ascii="Arial" w:hAnsi="Arial" w:cs="Arial"/>
          <w:sz w:val="18"/>
          <w:szCs w:val="18"/>
        </w:rPr>
        <w:t xml:space="preserve">. These standards require that the Committee annually assess the independence of its compensation consultant. A consultant satisfying the following requirements will be considered independent. The consultant (including each individual employee of the consultant providing services): </w:t>
      </w:r>
    </w:p>
    <w:p w14:paraId="4592930F"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Is retained and terminated by, has its compensation fixed by, and reports solely to, the Compensation Committee </w:t>
      </w:r>
    </w:p>
    <w:p w14:paraId="23207401"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Is independent of the Company </w:t>
      </w:r>
    </w:p>
    <w:p w14:paraId="2F0EFDC4"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Will not perform any work for Company management except at the request of the Compensation Committee Chair and in the capacity of the Committee’s agent </w:t>
      </w:r>
    </w:p>
    <w:p w14:paraId="6D2A12E7"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Should not provide any unrelated services or products to the Company and its affiliates or management, except for surveys purchased from the consultant’s firm </w:t>
      </w:r>
    </w:p>
    <w:p w14:paraId="02242BCC" w14:textId="77777777" w:rsidR="00D246A9" w:rsidRDefault="00D246A9">
      <w:pPr>
        <w:pStyle w:val="NormalWeb"/>
        <w:spacing w:before="90" w:beforeAutospacing="0" w:after="0" w:afterAutospacing="0"/>
        <w:rPr>
          <w:sz w:val="2"/>
          <w:szCs w:val="2"/>
        </w:rPr>
      </w:pPr>
      <w:r>
        <w:rPr>
          <w:sz w:val="2"/>
          <w:szCs w:val="2"/>
        </w:rPr>
        <w:t> </w:t>
      </w:r>
    </w:p>
    <w:p w14:paraId="40B0D899"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In assessing the consultant’s independence, the Compensation Committee considers the nature and amount of work performed for the Committee during the year, the nature of any unrelated services performed for the Company, and the fees paid for those services in relation to the firm’s total revenue. The consultant annually prepares for the Committee an independence letter providing assurances and confirmation of the consultant’s independent status under the standards. The Committee believes that Pay Governance has been independent during its service for the Committee. </w:t>
      </w:r>
    </w:p>
    <w:p w14:paraId="7219AB4D" w14:textId="77777777" w:rsidR="00212B0B" w:rsidRDefault="00212B0B">
      <w:pPr>
        <w:rPr>
          <w:rFonts w:ascii="Arial" w:hAnsi="Arial" w:cs="Arial"/>
          <w:b/>
          <w:bCs/>
          <w:color w:val="0075C9"/>
          <w:sz w:val="20"/>
        </w:rPr>
      </w:pPr>
      <w:r>
        <w:br w:type="page"/>
      </w:r>
    </w:p>
    <w:p w14:paraId="5B7234DB" w14:textId="50DAB9E0" w:rsidR="00D246A9" w:rsidRDefault="00D246A9" w:rsidP="00212B0B">
      <w:pPr>
        <w:pStyle w:val="Heading5"/>
      </w:pPr>
      <w:r>
        <w:lastRenderedPageBreak/>
        <w:t xml:space="preserve">Environmental, Social, and Public Policy Committee </w:t>
      </w:r>
    </w:p>
    <w:p w14:paraId="4762AD25"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Assist the Board in overseeing the Company’s key non-financial regulatory risks that may have a material impact on the Company and its ability to sustain trust with customers, employees, and the public </w:t>
      </w:r>
    </w:p>
    <w:p w14:paraId="2F993A63"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Oversee management policies and programs relating to key environmental and social matters including climate change and environmental sustainability, competition and antitrust, privacy, trade, digital safety, responsible AI, accessibility, human rights, and responsible sourcing </w:t>
      </w:r>
    </w:p>
    <w:p w14:paraId="2461A88E"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Review our government relations activity and political activities and expenditures </w:t>
      </w:r>
    </w:p>
    <w:p w14:paraId="518C1917"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Review our public policy agenda and position on significant public policy matters </w:t>
      </w:r>
    </w:p>
    <w:p w14:paraId="06AB6877" w14:textId="77777777" w:rsidR="00D246A9" w:rsidRDefault="00D246A9" w:rsidP="00212B0B">
      <w:pPr>
        <w:pStyle w:val="Heading5"/>
      </w:pPr>
      <w:r>
        <w:t xml:space="preserve">Governance and Nominating Committee </w:t>
      </w:r>
    </w:p>
    <w:p w14:paraId="78D3604A"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Determine and recommend the slate of director nominees for election to our Board during the annual shareholders meeting </w:t>
      </w:r>
    </w:p>
    <w:p w14:paraId="6021E686"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Identify, recruit, and recommend candidates for the Board </w:t>
      </w:r>
    </w:p>
    <w:p w14:paraId="0F959566"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Review and make recommendations to the Board about the composition of Board committees </w:t>
      </w:r>
    </w:p>
    <w:p w14:paraId="7891210D"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Annually evaluate the performance and effectiveness of the Board </w:t>
      </w:r>
    </w:p>
    <w:p w14:paraId="72ADD5FF"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Annually assess the independence of each director </w:t>
      </w:r>
    </w:p>
    <w:p w14:paraId="11F79598"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Monitor adherence to, review, develop, and recommend changes to our corporate governance framework </w:t>
      </w:r>
    </w:p>
    <w:p w14:paraId="6232A8BB"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Review and provide guidance to the Board and management about the framework for the Board’s oversight of, and involvement in, shareholder engagement </w:t>
      </w:r>
    </w:p>
    <w:p w14:paraId="4C7FF6D5" w14:textId="77777777"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Annually review the charters of Board committees and, after consultation with the respective committees, recommend to the Board appropriate changes </w:t>
      </w:r>
    </w:p>
    <w:p w14:paraId="642D2E9B" w14:textId="7BD302AA" w:rsidR="00D246A9" w:rsidRDefault="00D246A9" w:rsidP="003632AF">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Oversee the process and review the results of investigations of any sexual harassment complaints against members of the Board and the Chief Executive Officer. The Committee will report to the full Board on the conclusions of any investigation that results in a founded determination and the disciplinary and other actions taken </w:t>
      </w:r>
    </w:p>
    <w:p w14:paraId="691A2BCA" w14:textId="77777777" w:rsidR="00F749EE" w:rsidRDefault="00F749EE">
      <w:pPr>
        <w:pStyle w:val="NormalWeb"/>
        <w:spacing w:before="120" w:beforeAutospacing="0" w:after="0" w:afterAutospacing="0"/>
        <w:ind w:left="244" w:hanging="122"/>
        <w:rPr>
          <w:rFonts w:ascii="Arial" w:hAnsi="Arial" w:cs="Arial"/>
          <w:sz w:val="18"/>
          <w:szCs w:val="18"/>
        </w:rPr>
      </w:pPr>
    </w:p>
    <w:p w14:paraId="3461D95C" w14:textId="77777777" w:rsidR="00D246A9" w:rsidRDefault="00D246A9">
      <w:pPr>
        <w:pStyle w:val="rrdsinglerule"/>
        <w:pBdr>
          <w:top w:val="single" w:sz="6" w:space="0" w:color="0075C9"/>
        </w:pBdr>
        <w:rPr>
          <w:sz w:val="24"/>
          <w:szCs w:val="24"/>
        </w:rPr>
      </w:pPr>
      <w:r>
        <w:t xml:space="preserve">  </w:t>
      </w:r>
    </w:p>
    <w:p w14:paraId="28DC6B3A" w14:textId="77777777" w:rsidR="00D246A9" w:rsidRDefault="00D246A9" w:rsidP="00B4165A">
      <w:pPr>
        <w:pStyle w:val="Heading3"/>
      </w:pPr>
      <w:bookmarkStart w:id="3" w:name="toc356108_4"/>
      <w:bookmarkEnd w:id="3"/>
      <w:r>
        <w:t xml:space="preserve">Director Selection and Qualifications </w:t>
      </w:r>
    </w:p>
    <w:p w14:paraId="2B0A4A8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elect our Board of Directors annually. In making its annual director nominations determination, the Board’s objective is to recommend a group of directors that can best ensure the continuing success of our business and represent shareholder interests through the exercise of sound judgment using its diversity of experience and perspectives. </w:t>
      </w:r>
    </w:p>
    <w:p w14:paraId="44D9778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Governance and Nominating Committee recommends to the Board director candidates for nomination and election during the annual shareholders meeting or for </w:t>
      </w:r>
      <w:proofErr w:type="gramStart"/>
      <w:r>
        <w:rPr>
          <w:rFonts w:ascii="Arial" w:hAnsi="Arial" w:cs="Arial"/>
          <w:sz w:val="18"/>
          <w:szCs w:val="18"/>
        </w:rPr>
        <w:t>appointment</w:t>
      </w:r>
      <w:proofErr w:type="gramEnd"/>
      <w:r>
        <w:rPr>
          <w:rFonts w:ascii="Arial" w:hAnsi="Arial" w:cs="Arial"/>
          <w:sz w:val="18"/>
          <w:szCs w:val="18"/>
        </w:rPr>
        <w:t xml:space="preserve"> to fill vacancies. The Committee works with our Board to determine the characteristics, skills, and experience for the Board as a whole and its individual members with the objective of having a board with diverse backgrounds, skills, and experience. In making its recommendations to our Board, the Committee considers the qualifications of individual director candidates applying the Board membership criteria described below. The Committee retains any search firm involved in identifying potential candidates and </w:t>
      </w:r>
      <w:proofErr w:type="gramStart"/>
      <w:r>
        <w:rPr>
          <w:rFonts w:ascii="Arial" w:hAnsi="Arial" w:cs="Arial"/>
          <w:sz w:val="18"/>
          <w:szCs w:val="18"/>
        </w:rPr>
        <w:t>approves</w:t>
      </w:r>
      <w:proofErr w:type="gramEnd"/>
      <w:r>
        <w:rPr>
          <w:rFonts w:ascii="Arial" w:hAnsi="Arial" w:cs="Arial"/>
          <w:sz w:val="18"/>
          <w:szCs w:val="18"/>
        </w:rPr>
        <w:t xml:space="preserve"> their fees. </w:t>
      </w:r>
    </w:p>
    <w:p w14:paraId="65CA69A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For all directors, we require an independent mindset, integrity, personal and professional ethics, business judgment, and the ability and willingness to commit sufficient time to the Board. Our Board considers many factors in evaluating the suitability of individual director candidates, including their general understanding of global business, sales and marketing, finance, and other disciplines relevant to the success of a large, publicly traded company; understanding of our business and technology; educational and professional background; personal accomplishment; and national, gender, age, and ethnic diversity. </w:t>
      </w:r>
    </w:p>
    <w:p w14:paraId="2143103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Proxy Statement includes a table summarizing the key qualifications, skills, and attributes currently most relevant to the decision to nominate candidates to serve on the Board. As the Board strives to maintain a diverse set of skills and attributes, it also expects that each member will be able to understand and contribute meaningfully to the oversight of the range of material business, risk, and regulatory issues the Company faces. Management’s responsibility includes educating and communicating to the Board in a way that enables effective oversight of this broad set of issues. The Board is committed to actively seeking highly qualified women and individuals from minority groups to include in the pool from which new candidates are selected. We work with our search firm to ensure the candidate slate provided to the Committee includes diverse candidates. </w:t>
      </w:r>
    </w:p>
    <w:p w14:paraId="24D1055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does not believe that directors should expect to be re-nominated annually. In determining whether to recommend a director for re-election, the Committee considers the director’s participation in and contributions to the activities of the Board, the results of the most recent Board evaluation, and meeting attendance. </w:t>
      </w:r>
    </w:p>
    <w:p w14:paraId="01C59BE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When the Committee recruits new director candidates, that process typically involves either a search firm or a member of the Committee contacting a </w:t>
      </w:r>
      <w:proofErr w:type="gramStart"/>
      <w:r>
        <w:rPr>
          <w:rFonts w:ascii="Arial" w:hAnsi="Arial" w:cs="Arial"/>
          <w:sz w:val="18"/>
          <w:szCs w:val="18"/>
        </w:rPr>
        <w:t>prospect</w:t>
      </w:r>
      <w:proofErr w:type="gramEnd"/>
      <w:r>
        <w:rPr>
          <w:rFonts w:ascii="Arial" w:hAnsi="Arial" w:cs="Arial"/>
          <w:sz w:val="18"/>
          <w:szCs w:val="18"/>
        </w:rPr>
        <w:t xml:space="preserve"> to assess interest and availability. A candidate will then meet with members of the Board and Mr. Nadella, and then meet with members of management as appropriate. At the same time, the Committee and the search firm will contact references for the candidate. A background check is completed before a final candidate recommendation is made to the Board. </w:t>
      </w:r>
    </w:p>
    <w:p w14:paraId="14FB2F4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have previously elected all Board nominees, except Ms. MacGregor and Mr. Mason. In recruiting Ms. MacGregor and Mr. Mason, the Committee retained the search firm Spencer Stuart to help identify director prospects, perform candidate outreach, assist in reference checks, and provide other related services. </w:t>
      </w:r>
    </w:p>
    <w:p w14:paraId="0351BDBF"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lastRenderedPageBreak/>
        <w:t xml:space="preserve">The Committee assesses its efforts to maintain an effective and diverse board as part of its regular responsibilities, which include annually: </w:t>
      </w:r>
    </w:p>
    <w:p w14:paraId="71E8F1AB" w14:textId="77777777" w:rsidR="00D246A9" w:rsidRDefault="00D246A9" w:rsidP="009F5144">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Reporting to our Board on the performance and effectiveness of the Board </w:t>
      </w:r>
    </w:p>
    <w:p w14:paraId="108C308D" w14:textId="77777777" w:rsidR="00D246A9" w:rsidRDefault="00D246A9" w:rsidP="009F5144">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Presenting to our Board individuals recommended for election to the Board at the annual shareholders meeting </w:t>
      </w:r>
    </w:p>
    <w:p w14:paraId="6D2F4C57" w14:textId="77777777" w:rsidR="00D246A9" w:rsidRDefault="00D246A9" w:rsidP="009F5144">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Assessing the Committee’s own performance </w:t>
      </w:r>
    </w:p>
    <w:p w14:paraId="4A908B82" w14:textId="77777777" w:rsidR="00D246A9" w:rsidRDefault="00D246A9" w:rsidP="00224BEE">
      <w:pPr>
        <w:pStyle w:val="Heading4"/>
      </w:pPr>
      <w:r>
        <w:t xml:space="preserve">Shareholder Recommendations and Nominations of Director Candidates </w:t>
      </w:r>
    </w:p>
    <w:p w14:paraId="2644D544" w14:textId="77777777" w:rsidR="00D246A9" w:rsidRDefault="00D246A9" w:rsidP="00212B0B">
      <w:pPr>
        <w:pStyle w:val="Heading5"/>
      </w:pPr>
      <w:r>
        <w:t xml:space="preserve">Recommendations </w:t>
      </w:r>
    </w:p>
    <w:p w14:paraId="39B65FC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Governance and Nominating Committee considers shareholder recommendations for candidates for the Board of Directors using the same criteria described above. The name of any recommended candidate for director, together with a brief biographical sketch, a document indicating the candidate’s willingness to serve if elected, and evidence of the nominating shareholder’s ownership of Company stock must be sent to the attention of MSC 123/9999, Office of the Corporate Secretary, Microsoft Corporation, One Microsoft Way, Redmond, WA, 98052-6399. </w:t>
      </w:r>
    </w:p>
    <w:p w14:paraId="24853979" w14:textId="77777777" w:rsidR="00D246A9" w:rsidRDefault="00D246A9" w:rsidP="00212B0B">
      <w:pPr>
        <w:pStyle w:val="Heading5"/>
      </w:pPr>
      <w:r>
        <w:t xml:space="preserve">Nominations </w:t>
      </w:r>
    </w:p>
    <w:p w14:paraId="25FAAB2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Bylaws provide for proxy access shareholder nominations of director candidates by eligible shareholders. A shareholder who wishes to formally nominate a candidate, whether for inclusion in the Company’s proxy statement or not, must follow the procedures described in Article 1 of our Bylaws. Appropriately nominated proxy access candidates or candidates who comply with both our Advanced Notice Bylaw Provisions and the SEC’s Rule 14a-19 will be included in the Company’s proxy statement and ballot. </w:t>
      </w:r>
    </w:p>
    <w:p w14:paraId="1C85BD7C" w14:textId="77777777" w:rsidR="00D246A9" w:rsidRDefault="00D246A9">
      <w:pPr>
        <w:pStyle w:val="NormalWeb"/>
        <w:spacing w:before="180" w:beforeAutospacing="0" w:after="0" w:afterAutospacing="0"/>
        <w:rPr>
          <w:sz w:val="2"/>
          <w:szCs w:val="2"/>
        </w:rPr>
      </w:pPr>
      <w:r>
        <w:rPr>
          <w:sz w:val="2"/>
          <w:szCs w:val="2"/>
        </w:rPr>
        <w:t> </w:t>
      </w:r>
    </w:p>
    <w:p w14:paraId="51C2F33F" w14:textId="77777777" w:rsidR="00D246A9" w:rsidRDefault="00D246A9" w:rsidP="00F749EE">
      <w:pPr>
        <w:pStyle w:val="rrdsinglerule"/>
        <w:pageBreakBefore/>
        <w:pBdr>
          <w:top w:val="single" w:sz="6" w:space="0" w:color="0075C9"/>
        </w:pBdr>
        <w:spacing w:before="0"/>
        <w:rPr>
          <w:sz w:val="24"/>
          <w:szCs w:val="24"/>
        </w:rPr>
      </w:pPr>
      <w:r>
        <w:lastRenderedPageBreak/>
        <w:t> </w:t>
      </w:r>
    </w:p>
    <w:p w14:paraId="3EFA9061" w14:textId="77777777" w:rsidR="00D246A9" w:rsidRDefault="00D246A9" w:rsidP="00B4165A">
      <w:pPr>
        <w:pStyle w:val="Heading3"/>
      </w:pPr>
      <w:bookmarkStart w:id="4" w:name="toc356108_5"/>
      <w:bookmarkEnd w:id="4"/>
      <w:r>
        <w:t xml:space="preserve">Board Composition and Diversity </w:t>
      </w:r>
    </w:p>
    <w:p w14:paraId="2D81A09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of Directors believes that having a diverse mix of directors with complementary qualifications, expertise, and attributes is essential to meeting its oversight </w:t>
      </w:r>
      <w:proofErr w:type="gramStart"/>
      <w:r>
        <w:rPr>
          <w:rFonts w:ascii="Arial" w:hAnsi="Arial" w:cs="Arial"/>
          <w:sz w:val="18"/>
          <w:szCs w:val="18"/>
        </w:rPr>
        <w:t>responsibility</w:t>
      </w:r>
      <w:proofErr w:type="gramEnd"/>
      <w:r>
        <w:rPr>
          <w:rFonts w:ascii="Arial" w:hAnsi="Arial" w:cs="Arial"/>
          <w:sz w:val="18"/>
          <w:szCs w:val="18"/>
        </w:rPr>
        <w:t xml:space="preserve">. A mark indicates a specific area of focus or expertise on which the Board particularly relies. Not having a mark does not mean the director does not possess that qualification or skill. Our director nominees’ biographies describe each director’s background and relevant experience in more detail. </w:t>
      </w:r>
    </w:p>
    <w:p w14:paraId="60F9D7E1" w14:textId="77777777" w:rsidR="00D246A9" w:rsidRDefault="00D246A9">
      <w:pPr>
        <w:pStyle w:val="NormalWeb"/>
        <w:keepNext/>
        <w:spacing w:before="0" w:beforeAutospacing="0" w:after="0" w:afterAutospacing="0"/>
        <w:rPr>
          <w:sz w:val="12"/>
          <w:szCs w:val="12"/>
        </w:rPr>
      </w:pPr>
      <w:r>
        <w:rPr>
          <w:sz w:val="12"/>
          <w:szCs w:val="12"/>
        </w:rPr>
        <w:t> </w:t>
      </w:r>
    </w:p>
    <w:p w14:paraId="6BDBC095" w14:textId="7878214E" w:rsidR="00D246A9" w:rsidRDefault="00BE0DB9">
      <w:pPr>
        <w:pStyle w:val="NormalWeb"/>
        <w:spacing w:before="0" w:beforeAutospacing="0" w:after="0" w:afterAutospacing="0"/>
        <w:jc w:val="center"/>
      </w:pPr>
      <w:r>
        <w:rPr>
          <w:noProof/>
        </w:rPr>
        <w:drawing>
          <wp:inline distT="0" distB="0" distL="0" distR="0" wp14:anchorId="33A292A4" wp14:editId="403BC8D0">
            <wp:extent cx="6793274" cy="5384800"/>
            <wp:effectExtent l="0" t="0" r="7620" b="6350"/>
            <wp:docPr id="19582538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5384" name="Picture 9">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837262" cy="5419668"/>
                    </a:xfrm>
                    <a:prstGeom prst="rect">
                      <a:avLst/>
                    </a:prstGeom>
                  </pic:spPr>
                </pic:pic>
              </a:graphicData>
            </a:graphic>
          </wp:inline>
        </w:drawing>
      </w:r>
    </w:p>
    <w:p w14:paraId="6877F8E8" w14:textId="77777777" w:rsidR="00D246A9" w:rsidRDefault="00D246A9">
      <w:pPr>
        <w:pStyle w:val="NormalWeb"/>
        <w:keepNext/>
        <w:spacing w:before="0" w:beforeAutospacing="0" w:after="0" w:afterAutospacing="0"/>
      </w:pPr>
      <w:r>
        <w:t> </w:t>
      </w:r>
    </w:p>
    <w:p w14:paraId="5D94C1F5" w14:textId="77777777" w:rsidR="00D246A9" w:rsidRDefault="00D246A9">
      <w:pPr>
        <w:pStyle w:val="NormalWeb"/>
        <w:keepNext/>
        <w:spacing w:before="0" w:beforeAutospacing="0" w:after="0" w:afterAutospacing="0"/>
        <w:rPr>
          <w:sz w:val="2"/>
          <w:szCs w:val="2"/>
        </w:rPr>
      </w:pPr>
      <w:r>
        <w:rPr>
          <w:sz w:val="2"/>
          <w:szCs w:val="2"/>
        </w:rPr>
        <w:t> </w:t>
      </w:r>
    </w:p>
    <w:p w14:paraId="2EE1C080" w14:textId="7C248E85" w:rsidR="00D246A9" w:rsidRDefault="00BE0DB9">
      <w:pPr>
        <w:pStyle w:val="NormalWeb"/>
        <w:spacing w:before="0" w:beforeAutospacing="0" w:after="0" w:afterAutospacing="0"/>
        <w:jc w:val="center"/>
      </w:pPr>
      <w:r>
        <w:rPr>
          <w:noProof/>
        </w:rPr>
        <w:drawing>
          <wp:inline distT="0" distB="0" distL="0" distR="0" wp14:anchorId="217C6C18" wp14:editId="697D99EC">
            <wp:extent cx="6798014" cy="1989667"/>
            <wp:effectExtent l="0" t="0" r="3175" b="0"/>
            <wp:docPr id="1830814772" name="Picture 10" descr="Board Demographics&#10;&#10;The average tenure of our Board nominees is 5.7 years. The average age of the Board nominees is 59 years. &#10;&#10;42% of nominees are women and 25% are ethnically diverse, with 1 identifying as African American, 1 as Asian, and 1 as Hispanic / Latinx, with another 4 having been born outside the US, resulting in 67% overall board nominee d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14772" name="Picture 10" descr="Board Demographics&#10;&#10;The average tenure of our Board nominees is 5.7 years. The average age of the Board nominees is 59 years. &#10;&#10;42% of nominees are women and 25% are ethnically diverse, with 1 identifying as African American, 1 as Asian, and 1 as Hispanic / Latinx, with another 4 having been born outside the US, resulting in 67% overall board nominee diversity. "/>
                    <pic:cNvPicPr/>
                  </pic:nvPicPr>
                  <pic:blipFill>
                    <a:blip r:embed="rId24">
                      <a:extLst>
                        <a:ext uri="{28A0092B-C50C-407E-A947-70E740481C1C}">
                          <a14:useLocalDpi xmlns:a14="http://schemas.microsoft.com/office/drawing/2010/main" val="0"/>
                        </a:ext>
                      </a:extLst>
                    </a:blip>
                    <a:stretch>
                      <a:fillRect/>
                    </a:stretch>
                  </pic:blipFill>
                  <pic:spPr>
                    <a:xfrm>
                      <a:off x="0" y="0"/>
                      <a:ext cx="6846310" cy="2003803"/>
                    </a:xfrm>
                    <a:prstGeom prst="rect">
                      <a:avLst/>
                    </a:prstGeom>
                  </pic:spPr>
                </pic:pic>
              </a:graphicData>
            </a:graphic>
          </wp:inline>
        </w:drawing>
      </w:r>
    </w:p>
    <w:p w14:paraId="25A2C8F1" w14:textId="22D00687" w:rsidR="00BE0DB9" w:rsidRDefault="00D246A9">
      <w:pPr>
        <w:pStyle w:val="NormalWeb"/>
        <w:spacing w:before="240" w:beforeAutospacing="0" w:after="0" w:afterAutospacing="0"/>
        <w:rPr>
          <w:sz w:val="2"/>
          <w:szCs w:val="2"/>
        </w:rPr>
      </w:pPr>
      <w:r>
        <w:rPr>
          <w:sz w:val="2"/>
          <w:szCs w:val="2"/>
        </w:rPr>
        <w:t> </w:t>
      </w:r>
    </w:p>
    <w:p w14:paraId="219730E7" w14:textId="77777777" w:rsidR="00BE0DB9" w:rsidRDefault="00BE0DB9">
      <w:pPr>
        <w:rPr>
          <w:sz w:val="2"/>
          <w:szCs w:val="2"/>
        </w:rPr>
      </w:pPr>
      <w:r>
        <w:rPr>
          <w:sz w:val="2"/>
          <w:szCs w:val="2"/>
        </w:rPr>
        <w:br w:type="page"/>
      </w:r>
    </w:p>
    <w:p w14:paraId="43976A26" w14:textId="77777777" w:rsidR="00D246A9" w:rsidRDefault="00D246A9">
      <w:pPr>
        <w:pStyle w:val="NormalWeb"/>
        <w:spacing w:before="240" w:beforeAutospacing="0" w:after="0" w:afterAutospacing="0"/>
        <w:rPr>
          <w:sz w:val="2"/>
          <w:szCs w:val="2"/>
        </w:rPr>
      </w:pPr>
    </w:p>
    <w:p w14:paraId="7103823D" w14:textId="77777777" w:rsidR="00D246A9" w:rsidRDefault="00D246A9">
      <w:pPr>
        <w:pStyle w:val="rrdsinglerule"/>
        <w:pBdr>
          <w:top w:val="single" w:sz="6" w:space="0" w:color="0075C9"/>
        </w:pBdr>
        <w:rPr>
          <w:sz w:val="24"/>
          <w:szCs w:val="24"/>
        </w:rPr>
      </w:pPr>
      <w:r>
        <w:t> </w:t>
      </w:r>
    </w:p>
    <w:p w14:paraId="2EA8634F" w14:textId="77777777" w:rsidR="00D246A9" w:rsidRDefault="00D246A9">
      <w:pPr>
        <w:pStyle w:val="NormalWeb"/>
        <w:keepNext/>
        <w:spacing w:before="0" w:beforeAutospacing="0" w:after="0" w:afterAutospacing="0"/>
        <w:rPr>
          <w:sz w:val="8"/>
          <w:szCs w:val="8"/>
        </w:rPr>
      </w:pPr>
      <w:r>
        <w:rPr>
          <w:sz w:val="8"/>
          <w:szCs w:val="8"/>
        </w:rPr>
        <w:t> </w:t>
      </w:r>
    </w:p>
    <w:p w14:paraId="0CF69F00" w14:textId="77777777" w:rsidR="00D246A9" w:rsidRDefault="00D246A9" w:rsidP="00B4165A">
      <w:pPr>
        <w:pStyle w:val="Heading3"/>
      </w:pPr>
      <w:bookmarkStart w:id="5" w:name="toc356108_6"/>
      <w:bookmarkEnd w:id="5"/>
      <w:r>
        <w:t xml:space="preserve">Our Director Nominees </w:t>
      </w:r>
    </w:p>
    <w:p w14:paraId="6C3E798C"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Following are biographies for the 12 directors nominated by the Board for election during the 2023 Annual Meeting. </w:t>
      </w:r>
    </w:p>
    <w:p w14:paraId="33C9D2B1" w14:textId="77777777" w:rsidR="00D246A9" w:rsidRDefault="00D246A9">
      <w:pPr>
        <w:pStyle w:val="NormalWeb"/>
        <w:keepNext/>
        <w:spacing w:before="0" w:beforeAutospacing="0" w:after="0" w:afterAutospacing="0"/>
      </w:pPr>
      <w:r>
        <w:t> </w:t>
      </w:r>
    </w:p>
    <w:p w14:paraId="60A49A41" w14:textId="77777777" w:rsidR="00D246A9" w:rsidRDefault="00D246A9">
      <w:pPr>
        <w:pStyle w:val="NormalWeb"/>
        <w:keepNext/>
        <w:spacing w:before="0" w:beforeAutospacing="0" w:after="0" w:afterAutospacing="0"/>
        <w:rPr>
          <w:sz w:val="2"/>
          <w:szCs w:val="2"/>
        </w:rPr>
      </w:pPr>
      <w:r>
        <w:rPr>
          <w:sz w:val="2"/>
          <w:szCs w:val="2"/>
        </w:rPr>
        <w:t> </w:t>
      </w:r>
    </w:p>
    <w:tbl>
      <w:tblPr>
        <w:tblW w:w="0" w:type="auto"/>
        <w:tblLayout w:type="fixed"/>
        <w:tblCellMar>
          <w:left w:w="0" w:type="dxa"/>
          <w:right w:w="0" w:type="dxa"/>
        </w:tblCellMar>
        <w:tblLook w:val="0600" w:firstRow="0" w:lastRow="0" w:firstColumn="0" w:lastColumn="0" w:noHBand="1" w:noVBand="1"/>
      </w:tblPr>
      <w:tblGrid>
        <w:gridCol w:w="305"/>
        <w:gridCol w:w="1504"/>
        <w:gridCol w:w="4455"/>
        <w:gridCol w:w="4536"/>
      </w:tblGrid>
      <w:tr w:rsidR="00D246A9" w14:paraId="1688802C" w14:textId="77777777" w:rsidTr="00BB7210">
        <w:tc>
          <w:tcPr>
            <w:tcW w:w="305" w:type="dxa"/>
            <w:vAlign w:val="center"/>
            <w:hideMark/>
          </w:tcPr>
          <w:p w14:paraId="25BE942B" w14:textId="77777777" w:rsidR="00D246A9" w:rsidRDefault="00D246A9">
            <w:pPr>
              <w:rPr>
                <w:sz w:val="2"/>
                <w:szCs w:val="2"/>
              </w:rPr>
            </w:pPr>
          </w:p>
        </w:tc>
        <w:tc>
          <w:tcPr>
            <w:tcW w:w="1504" w:type="dxa"/>
            <w:vAlign w:val="center"/>
            <w:hideMark/>
          </w:tcPr>
          <w:p w14:paraId="1B470652" w14:textId="77777777" w:rsidR="00D246A9" w:rsidRDefault="00D246A9">
            <w:pPr>
              <w:rPr>
                <w:sz w:val="20"/>
              </w:rPr>
            </w:pPr>
          </w:p>
        </w:tc>
        <w:tc>
          <w:tcPr>
            <w:tcW w:w="4455" w:type="dxa"/>
            <w:vAlign w:val="center"/>
            <w:hideMark/>
          </w:tcPr>
          <w:p w14:paraId="0ECA4352" w14:textId="77777777" w:rsidR="00D246A9" w:rsidRDefault="00D246A9">
            <w:pPr>
              <w:rPr>
                <w:sz w:val="20"/>
              </w:rPr>
            </w:pPr>
          </w:p>
        </w:tc>
        <w:tc>
          <w:tcPr>
            <w:tcW w:w="4536" w:type="dxa"/>
            <w:vAlign w:val="center"/>
            <w:hideMark/>
          </w:tcPr>
          <w:p w14:paraId="008557DE" w14:textId="77777777" w:rsidR="00D246A9" w:rsidRDefault="00D246A9">
            <w:pPr>
              <w:rPr>
                <w:sz w:val="20"/>
              </w:rPr>
            </w:pPr>
          </w:p>
        </w:tc>
      </w:tr>
      <w:tr w:rsidR="00052122" w14:paraId="52CB115C" w14:textId="77777777" w:rsidTr="00BB7210">
        <w:trPr>
          <w:cantSplit/>
          <w:trHeight w:val="678"/>
        </w:trPr>
        <w:tc>
          <w:tcPr>
            <w:tcW w:w="1809" w:type="dxa"/>
            <w:gridSpan w:val="2"/>
            <w:vMerge w:val="restart"/>
            <w:tcMar>
              <w:top w:w="0" w:type="dxa"/>
              <w:left w:w="144" w:type="dxa"/>
              <w:bottom w:w="0" w:type="dxa"/>
              <w:right w:w="0" w:type="dxa"/>
            </w:tcMar>
            <w:hideMark/>
          </w:tcPr>
          <w:p w14:paraId="44F8162A" w14:textId="2F7A8D06" w:rsidR="00052122" w:rsidRDefault="00052122" w:rsidP="00BB7210">
            <w:pPr>
              <w:rPr>
                <w:rFonts w:ascii="Arial" w:hAnsi="Arial" w:cs="Arial"/>
                <w:sz w:val="52"/>
                <w:szCs w:val="52"/>
              </w:rPr>
            </w:pPr>
            <w:r>
              <w:rPr>
                <w:rFonts w:ascii="Arial" w:hAnsi="Arial" w:cs="Arial"/>
                <w:noProof/>
                <w:sz w:val="52"/>
                <w:szCs w:val="52"/>
              </w:rPr>
              <w:drawing>
                <wp:inline distT="0" distB="0" distL="0" distR="0" wp14:anchorId="0B80FECB" wp14:editId="4238CB49">
                  <wp:extent cx="914400" cy="914400"/>
                  <wp:effectExtent l="0" t="0" r="0" b="0"/>
                  <wp:docPr id="1427423218"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23218" name="Picture 1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8991" w:type="dxa"/>
            <w:gridSpan w:val="2"/>
            <w:tcBorders>
              <w:bottom w:val="nil"/>
            </w:tcBorders>
            <w:vAlign w:val="bottom"/>
            <w:hideMark/>
          </w:tcPr>
          <w:p w14:paraId="6861C24C" w14:textId="77777777" w:rsidR="00052122" w:rsidRDefault="00052122">
            <w:pPr>
              <w:rPr>
                <w:rFonts w:ascii="Arial" w:hAnsi="Arial" w:cs="Arial"/>
                <w:sz w:val="52"/>
                <w:szCs w:val="52"/>
              </w:rPr>
            </w:pPr>
            <w:r>
              <w:rPr>
                <w:rFonts w:ascii="Arial" w:hAnsi="Arial" w:cs="Arial"/>
                <w:color w:val="595959"/>
                <w:sz w:val="52"/>
                <w:szCs w:val="52"/>
              </w:rPr>
              <w:t>Reid G. Hoffman</w:t>
            </w:r>
            <w:r>
              <w:rPr>
                <w:rFonts w:ascii="Arial" w:hAnsi="Arial" w:cs="Arial"/>
                <w:color w:val="595959"/>
                <w:sz w:val="52"/>
                <w:szCs w:val="52"/>
              </w:rPr>
              <w:t> </w:t>
            </w:r>
          </w:p>
          <w:p w14:paraId="0C8622FE" w14:textId="776E9547" w:rsidR="00052122" w:rsidRPr="00306F7C" w:rsidRDefault="00052122">
            <w:pPr>
              <w:pStyle w:val="la2"/>
              <w:rPr>
                <w:rFonts w:ascii="Arial" w:hAnsi="Arial" w:cs="Arial"/>
                <w:sz w:val="52"/>
                <w:szCs w:val="52"/>
              </w:rPr>
            </w:pPr>
            <w:r>
              <w:rPr>
                <w:rFonts w:ascii="Arial" w:hAnsi="Arial" w:cs="Arial"/>
                <w:sz w:val="52"/>
                <w:szCs w:val="52"/>
              </w:rPr>
              <w:t> </w:t>
            </w:r>
          </w:p>
          <w:p w14:paraId="7F49F1B8" w14:textId="10F91C2E" w:rsidR="00052122" w:rsidRPr="00306F7C" w:rsidRDefault="00052122" w:rsidP="00E510D3">
            <w:pPr>
              <w:pStyle w:val="la2"/>
              <w:rPr>
                <w:rFonts w:ascii="Arial" w:hAnsi="Arial" w:cs="Arial"/>
                <w:sz w:val="52"/>
                <w:szCs w:val="52"/>
              </w:rPr>
            </w:pPr>
            <w:r>
              <w:rPr>
                <w:rFonts w:ascii="Arial" w:hAnsi="Arial" w:cs="Arial"/>
                <w:sz w:val="14"/>
                <w:szCs w:val="14"/>
              </w:rPr>
              <w:t> </w:t>
            </w:r>
          </w:p>
        </w:tc>
      </w:tr>
      <w:tr w:rsidR="00052122" w14:paraId="602A720B" w14:textId="77777777" w:rsidTr="00BB7210">
        <w:trPr>
          <w:cantSplit/>
        </w:trPr>
        <w:tc>
          <w:tcPr>
            <w:tcW w:w="1809" w:type="dxa"/>
            <w:gridSpan w:val="2"/>
            <w:vMerge/>
            <w:tcMar>
              <w:top w:w="0" w:type="dxa"/>
              <w:left w:w="144" w:type="dxa"/>
              <w:bottom w:w="0" w:type="dxa"/>
              <w:right w:w="0" w:type="dxa"/>
            </w:tcMar>
            <w:hideMark/>
          </w:tcPr>
          <w:p w14:paraId="4891DD9E" w14:textId="77777777" w:rsidR="00052122" w:rsidRDefault="00052122">
            <w:pPr>
              <w:rPr>
                <w:rFonts w:ascii="Arial" w:hAnsi="Arial" w:cs="Arial"/>
                <w:sz w:val="52"/>
                <w:szCs w:val="52"/>
              </w:rPr>
            </w:pPr>
          </w:p>
        </w:tc>
        <w:tc>
          <w:tcPr>
            <w:tcW w:w="8991" w:type="dxa"/>
            <w:gridSpan w:val="2"/>
            <w:vAlign w:val="bottom"/>
            <w:hideMark/>
          </w:tcPr>
          <w:p w14:paraId="1EEFC886" w14:textId="77777777" w:rsidR="00052122" w:rsidRDefault="00052122">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56 | </w:t>
            </w:r>
            <w:r>
              <w:rPr>
                <w:rFonts w:ascii="Arial" w:hAnsi="Arial" w:cs="Arial"/>
                <w:b/>
                <w:bCs/>
                <w:sz w:val="20"/>
                <w:szCs w:val="20"/>
              </w:rPr>
              <w:t>Director since:</w:t>
            </w:r>
            <w:r>
              <w:rPr>
                <w:rFonts w:ascii="Arial" w:hAnsi="Arial" w:cs="Arial"/>
                <w:sz w:val="20"/>
                <w:szCs w:val="20"/>
              </w:rPr>
              <w:t xml:space="preserve"> 2017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761EB00E" w14:textId="5AC54A73" w:rsidR="00052122" w:rsidRDefault="00052122">
            <w:pPr>
              <w:pStyle w:val="NormalWeb"/>
              <w:spacing w:before="0" w:beforeAutospacing="0" w:after="0" w:afterAutospacing="0"/>
              <w:rPr>
                <w:rFonts w:ascii="Arial" w:hAnsi="Arial" w:cs="Arial"/>
                <w:sz w:val="50"/>
                <w:szCs w:val="50"/>
              </w:rPr>
            </w:pPr>
            <w:r>
              <w:rPr>
                <w:rFonts w:ascii="Arial" w:hAnsi="Arial" w:cs="Arial"/>
                <w:sz w:val="12"/>
                <w:szCs w:val="12"/>
              </w:rPr>
              <w:t> </w:t>
            </w:r>
            <w:r w:rsidR="00BB7210">
              <w:rPr>
                <w:rFonts w:ascii="Arial" w:hAnsi="Arial" w:cs="Arial"/>
                <w:noProof/>
                <w:sz w:val="50"/>
                <w:szCs w:val="50"/>
              </w:rPr>
              <w:drawing>
                <wp:inline distT="0" distB="0" distL="0" distR="0" wp14:anchorId="09D518A4" wp14:editId="28A29E2B">
                  <wp:extent cx="1004738" cy="274320"/>
                  <wp:effectExtent l="0" t="0" r="5080" b="0"/>
                  <wp:docPr id="116955589" name="Picture 20" descr="Mr. Hoffman is experienced in leadership, mergers and acquisitions, and techn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5589" name="Picture 20" descr="Mr. Hoffman is experienced in leadership, mergers and acquisitions, and technology.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4738" cy="274320"/>
                          </a:xfrm>
                          <a:prstGeom prst="rect">
                            <a:avLst/>
                          </a:prstGeom>
                        </pic:spPr>
                      </pic:pic>
                    </a:graphicData>
                  </a:graphic>
                </wp:inline>
              </w:drawing>
            </w:r>
          </w:p>
          <w:p w14:paraId="1254F43D" w14:textId="77777777" w:rsidR="00052122" w:rsidRDefault="00052122">
            <w:pPr>
              <w:pStyle w:val="NormalWeb"/>
              <w:spacing w:before="0" w:beforeAutospacing="0" w:after="20" w:afterAutospacing="0"/>
              <w:rPr>
                <w:rFonts w:ascii="Arial" w:hAnsi="Arial" w:cs="Arial"/>
              </w:rPr>
            </w:pPr>
            <w:r>
              <w:rPr>
                <w:rFonts w:ascii="Arial" w:hAnsi="Arial" w:cs="Arial"/>
              </w:rPr>
              <w:t> </w:t>
            </w:r>
          </w:p>
        </w:tc>
      </w:tr>
    </w:tbl>
    <w:p w14:paraId="5765FE70" w14:textId="77777777" w:rsidR="00D246A9" w:rsidRDefault="00D246A9">
      <w:pPr>
        <w:rPr>
          <w:vanish/>
        </w:rPr>
      </w:pPr>
    </w:p>
    <w:tbl>
      <w:tblPr>
        <w:tblW w:w="9499" w:type="dxa"/>
        <w:tblInd w:w="653" w:type="dxa"/>
        <w:tblLayout w:type="fixed"/>
        <w:tblCellMar>
          <w:left w:w="0" w:type="dxa"/>
          <w:right w:w="0" w:type="dxa"/>
        </w:tblCellMar>
        <w:tblLook w:val="0600" w:firstRow="0" w:lastRow="0" w:firstColumn="0" w:lastColumn="0" w:noHBand="1" w:noVBand="1"/>
      </w:tblPr>
      <w:tblGrid>
        <w:gridCol w:w="5179"/>
        <w:gridCol w:w="4320"/>
      </w:tblGrid>
      <w:tr w:rsidR="00BB7210" w14:paraId="7EBE3FD1" w14:textId="77777777" w:rsidTr="00BB7210">
        <w:trPr>
          <w:cantSplit/>
        </w:trPr>
        <w:tc>
          <w:tcPr>
            <w:tcW w:w="5179" w:type="dxa"/>
            <w:tcBorders>
              <w:bottom w:val="single" w:sz="6" w:space="0" w:color="999999"/>
            </w:tcBorders>
            <w:hideMark/>
          </w:tcPr>
          <w:p w14:paraId="02C8E7A6" w14:textId="77777777" w:rsidR="00BB7210" w:rsidRPr="00306F7C" w:rsidRDefault="00BB7210">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706B781C" w14:textId="77777777" w:rsidR="00BB7210" w:rsidRDefault="00BB7210">
            <w:pPr>
              <w:pStyle w:val="NormalWeb"/>
              <w:spacing w:before="0" w:beforeAutospacing="0" w:after="0" w:afterAutospacing="0"/>
              <w:rPr>
                <w:rFonts w:ascii="Arial" w:hAnsi="Arial" w:cs="Arial"/>
                <w:sz w:val="18"/>
                <w:szCs w:val="18"/>
              </w:rPr>
            </w:pPr>
            <w:r>
              <w:rPr>
                <w:rFonts w:ascii="Arial" w:hAnsi="Arial" w:cs="Arial"/>
                <w:b/>
                <w:bCs/>
                <w:color w:val="0075C9"/>
                <w:sz w:val="18"/>
                <w:szCs w:val="18"/>
              </w:rPr>
              <w:t>Greylock Partners (2009-present)</w:t>
            </w:r>
          </w:p>
          <w:p w14:paraId="65EBBBD7" w14:textId="77777777" w:rsidR="00BB7210" w:rsidRDefault="00BB7210">
            <w:pPr>
              <w:pStyle w:val="NormalWeb"/>
              <w:spacing w:before="0" w:beforeAutospacing="0" w:after="0" w:afterAutospacing="0"/>
              <w:rPr>
                <w:rFonts w:ascii="Arial" w:hAnsi="Arial" w:cs="Arial"/>
                <w:sz w:val="18"/>
                <w:szCs w:val="18"/>
              </w:rPr>
            </w:pPr>
            <w:r>
              <w:rPr>
                <w:rFonts w:ascii="Arial" w:hAnsi="Arial" w:cs="Arial"/>
                <w:color w:val="0075C9"/>
                <w:sz w:val="18"/>
                <w:szCs w:val="18"/>
              </w:rPr>
              <w:t>(venture capital firm)</w:t>
            </w:r>
          </w:p>
          <w:p w14:paraId="1F9206A4" w14:textId="77777777" w:rsidR="00BB7210" w:rsidRDefault="00BB7210">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Partner (2023-present)</w:t>
            </w:r>
          </w:p>
          <w:p w14:paraId="40158BC2" w14:textId="77777777" w:rsidR="00BB7210" w:rsidRDefault="00BB7210">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General Partner (2009-2023)</w:t>
            </w:r>
          </w:p>
          <w:p w14:paraId="159F6493" w14:textId="77777777" w:rsidR="00BB7210" w:rsidRDefault="00BB7210">
            <w:pPr>
              <w:pStyle w:val="NormalWeb"/>
              <w:spacing w:before="0" w:beforeAutospacing="0" w:after="0" w:afterAutospacing="0"/>
              <w:rPr>
                <w:rFonts w:ascii="Arial" w:hAnsi="Arial" w:cs="Arial"/>
                <w:sz w:val="18"/>
                <w:szCs w:val="18"/>
              </w:rPr>
            </w:pPr>
            <w:r>
              <w:rPr>
                <w:rFonts w:ascii="Arial" w:hAnsi="Arial" w:cs="Arial"/>
                <w:b/>
                <w:bCs/>
                <w:color w:val="0075C9"/>
                <w:sz w:val="18"/>
                <w:szCs w:val="18"/>
              </w:rPr>
              <w:t>Reinvent Capital (2019-present)</w:t>
            </w:r>
          </w:p>
          <w:p w14:paraId="1EE21FBD" w14:textId="77777777" w:rsidR="00BB7210" w:rsidRDefault="00BB7210">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Advisory Partner (2019-present)</w:t>
            </w:r>
          </w:p>
          <w:p w14:paraId="63E8624F" w14:textId="77777777" w:rsidR="00BB7210" w:rsidRDefault="00BB7210">
            <w:pPr>
              <w:pStyle w:val="NormalWeb"/>
              <w:spacing w:before="0" w:beforeAutospacing="0" w:after="0" w:afterAutospacing="0"/>
              <w:rPr>
                <w:rFonts w:ascii="Arial" w:hAnsi="Arial" w:cs="Arial"/>
                <w:sz w:val="18"/>
                <w:szCs w:val="18"/>
              </w:rPr>
            </w:pPr>
            <w:r>
              <w:rPr>
                <w:rFonts w:ascii="Arial" w:hAnsi="Arial" w:cs="Arial"/>
                <w:b/>
                <w:bCs/>
                <w:color w:val="0075C9"/>
                <w:sz w:val="18"/>
                <w:szCs w:val="18"/>
              </w:rPr>
              <w:t>LinkedIn Corporation (2003-2016)</w:t>
            </w:r>
          </w:p>
          <w:p w14:paraId="651069EE" w14:textId="77777777" w:rsidR="00BB7210" w:rsidRDefault="00BB7210">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and Chairman (2003-2016)</w:t>
            </w:r>
          </w:p>
          <w:p w14:paraId="41BCCB9E" w14:textId="77777777" w:rsidR="00BB7210" w:rsidRDefault="00BB7210">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Chairman (2009)</w:t>
            </w:r>
          </w:p>
          <w:p w14:paraId="02DC456B" w14:textId="77777777" w:rsidR="00BB7210" w:rsidRDefault="00BB7210">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(2003-2007 and 2008-2009)</w:t>
            </w:r>
          </w:p>
          <w:p w14:paraId="575FC541" w14:textId="77777777" w:rsidR="00BB7210" w:rsidRDefault="00BB7210">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Products (2007-2008)</w:t>
            </w:r>
          </w:p>
          <w:p w14:paraId="101F2EFA" w14:textId="77777777" w:rsidR="00BB7210" w:rsidRDefault="00BB7210">
            <w:pPr>
              <w:pStyle w:val="NormalWeb"/>
              <w:spacing w:before="0" w:beforeAutospacing="0" w:after="0" w:afterAutospacing="0"/>
              <w:rPr>
                <w:rFonts w:ascii="Arial" w:hAnsi="Arial" w:cs="Arial"/>
                <w:sz w:val="18"/>
                <w:szCs w:val="18"/>
              </w:rPr>
            </w:pPr>
            <w:r>
              <w:rPr>
                <w:rFonts w:ascii="Arial" w:hAnsi="Arial" w:cs="Arial"/>
                <w:b/>
                <w:bCs/>
                <w:color w:val="0075C9"/>
                <w:sz w:val="18"/>
                <w:szCs w:val="18"/>
              </w:rPr>
              <w:t>PayPal Holdings, Inc. (2000-2002)</w:t>
            </w:r>
          </w:p>
          <w:p w14:paraId="1759E791" w14:textId="77777777" w:rsidR="00BB7210" w:rsidRDefault="00BB7210">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(2000-2002)</w:t>
            </w:r>
          </w:p>
          <w:p w14:paraId="6F1568BC" w14:textId="77777777" w:rsidR="00BB7210" w:rsidRDefault="00BB7210">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 </w:t>
            </w:r>
            <w:r>
              <w:rPr>
                <w:rFonts w:ascii="Arial" w:hAnsi="Arial" w:cs="Arial"/>
                <w:sz w:val="18"/>
                <w:szCs w:val="18"/>
              </w:rPr>
              <w:tab/>
            </w:r>
          </w:p>
        </w:tc>
        <w:tc>
          <w:tcPr>
            <w:tcW w:w="4320" w:type="dxa"/>
            <w:tcBorders>
              <w:bottom w:val="single" w:sz="6" w:space="0" w:color="999999"/>
            </w:tcBorders>
            <w:hideMark/>
          </w:tcPr>
          <w:p w14:paraId="235FE3F1" w14:textId="77777777" w:rsidR="00BB7210" w:rsidRDefault="00BB7210">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30B860E7" w14:textId="77777777" w:rsidR="00BB7210" w:rsidRDefault="00BB7210">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Environmental, Social, and Public Policy</w:t>
            </w:r>
          </w:p>
          <w:p w14:paraId="2C6A5B48" w14:textId="77777777" w:rsidR="00BB7210" w:rsidRDefault="00BB7210">
            <w:pPr>
              <w:pStyle w:val="NormalWeb"/>
              <w:spacing w:before="0" w:beforeAutospacing="0" w:after="0" w:afterAutospacing="0"/>
              <w:rPr>
                <w:rFonts w:ascii="Arial" w:hAnsi="Arial" w:cs="Arial"/>
              </w:rPr>
            </w:pPr>
            <w:r>
              <w:rPr>
                <w:rFonts w:ascii="Arial" w:hAnsi="Arial" w:cs="Arial"/>
              </w:rPr>
              <w:t> </w:t>
            </w:r>
          </w:p>
          <w:p w14:paraId="073C9913" w14:textId="77777777" w:rsidR="00BB7210" w:rsidRDefault="00BB7210">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3AC91F0E" w14:textId="77777777" w:rsidR="00BB7210" w:rsidRDefault="00BB7210">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Joby Aviation, Inc.</w:t>
            </w:r>
          </w:p>
          <w:p w14:paraId="50B93BEB" w14:textId="77777777" w:rsidR="00BB7210" w:rsidRDefault="00BB7210">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Aurora Innovation, Inc.</w:t>
            </w:r>
          </w:p>
          <w:p w14:paraId="6D3C8C6C" w14:textId="77777777" w:rsidR="00BB7210" w:rsidRDefault="00BB7210">
            <w:pPr>
              <w:pStyle w:val="NormalWeb"/>
              <w:spacing w:before="0" w:beforeAutospacing="0" w:after="0" w:afterAutospacing="0"/>
              <w:rPr>
                <w:rFonts w:ascii="Arial" w:hAnsi="Arial" w:cs="Arial"/>
              </w:rPr>
            </w:pPr>
            <w:r>
              <w:rPr>
                <w:rFonts w:ascii="Arial" w:hAnsi="Arial" w:cs="Arial"/>
              </w:rPr>
              <w:t> </w:t>
            </w:r>
          </w:p>
          <w:p w14:paraId="46E3F435" w14:textId="77777777" w:rsidR="00BB7210" w:rsidRDefault="00BB7210">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 Held in the Past Five Years:</w:t>
            </w:r>
          </w:p>
          <w:p w14:paraId="321C8187" w14:textId="77777777" w:rsidR="00BB7210" w:rsidRDefault="00BB7210">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Reinvent Technology Partners Z</w:t>
            </w:r>
          </w:p>
        </w:tc>
      </w:tr>
    </w:tbl>
    <w:p w14:paraId="63A338F3" w14:textId="77777777" w:rsidR="00D246A9" w:rsidRPr="00306F7C" w:rsidRDefault="00D246A9">
      <w:pPr>
        <w:pStyle w:val="NormalWeb"/>
        <w:keepNext/>
        <w:spacing w:before="0" w:beforeAutospacing="0" w:after="0" w:afterAutospacing="0"/>
        <w:rPr>
          <w:sz w:val="36"/>
          <w:szCs w:val="36"/>
        </w:rPr>
      </w:pPr>
      <w:r>
        <w:rPr>
          <w:sz w:val="36"/>
          <w:szCs w:val="36"/>
        </w:rPr>
        <w:t> </w:t>
      </w:r>
    </w:p>
    <w:tbl>
      <w:tblPr>
        <w:tblW w:w="0" w:type="auto"/>
        <w:tblLayout w:type="fixed"/>
        <w:tblCellMar>
          <w:left w:w="0" w:type="dxa"/>
          <w:right w:w="0" w:type="dxa"/>
        </w:tblCellMar>
        <w:tblLook w:val="0600" w:firstRow="0" w:lastRow="0" w:firstColumn="0" w:lastColumn="0" w:noHBand="1" w:noVBand="1"/>
      </w:tblPr>
      <w:tblGrid>
        <w:gridCol w:w="310"/>
        <w:gridCol w:w="1525"/>
        <w:gridCol w:w="4753"/>
        <w:gridCol w:w="4212"/>
      </w:tblGrid>
      <w:tr w:rsidR="00D246A9" w14:paraId="6D876385" w14:textId="77777777" w:rsidTr="001164D9">
        <w:tc>
          <w:tcPr>
            <w:tcW w:w="310" w:type="dxa"/>
            <w:vAlign w:val="center"/>
            <w:hideMark/>
          </w:tcPr>
          <w:p w14:paraId="07CC9E38" w14:textId="77777777" w:rsidR="00D246A9" w:rsidRDefault="00D246A9">
            <w:pPr>
              <w:rPr>
                <w:sz w:val="36"/>
                <w:szCs w:val="36"/>
              </w:rPr>
            </w:pPr>
          </w:p>
        </w:tc>
        <w:tc>
          <w:tcPr>
            <w:tcW w:w="1525" w:type="dxa"/>
            <w:vAlign w:val="center"/>
            <w:hideMark/>
          </w:tcPr>
          <w:p w14:paraId="4FDE78F3" w14:textId="77777777" w:rsidR="00D246A9" w:rsidRDefault="00D246A9">
            <w:pPr>
              <w:rPr>
                <w:sz w:val="20"/>
              </w:rPr>
            </w:pPr>
          </w:p>
        </w:tc>
        <w:tc>
          <w:tcPr>
            <w:tcW w:w="4753" w:type="dxa"/>
            <w:vAlign w:val="center"/>
            <w:hideMark/>
          </w:tcPr>
          <w:p w14:paraId="24D2DB5E" w14:textId="77777777" w:rsidR="00D246A9" w:rsidRDefault="00D246A9">
            <w:pPr>
              <w:rPr>
                <w:sz w:val="20"/>
              </w:rPr>
            </w:pPr>
          </w:p>
        </w:tc>
        <w:tc>
          <w:tcPr>
            <w:tcW w:w="4212" w:type="dxa"/>
            <w:vAlign w:val="center"/>
            <w:hideMark/>
          </w:tcPr>
          <w:p w14:paraId="48367DDD" w14:textId="77777777" w:rsidR="00D246A9" w:rsidRDefault="00D246A9">
            <w:pPr>
              <w:rPr>
                <w:sz w:val="20"/>
              </w:rPr>
            </w:pPr>
          </w:p>
        </w:tc>
      </w:tr>
      <w:tr w:rsidR="001164D9" w14:paraId="546BC6EE" w14:textId="77777777" w:rsidTr="001164D9">
        <w:trPr>
          <w:cantSplit/>
          <w:trHeight w:val="598"/>
        </w:trPr>
        <w:tc>
          <w:tcPr>
            <w:tcW w:w="1835" w:type="dxa"/>
            <w:gridSpan w:val="2"/>
            <w:vMerge w:val="restart"/>
            <w:tcMar>
              <w:top w:w="0" w:type="dxa"/>
              <w:left w:w="144" w:type="dxa"/>
              <w:bottom w:w="0" w:type="dxa"/>
              <w:right w:w="0" w:type="dxa"/>
            </w:tcMar>
            <w:hideMark/>
          </w:tcPr>
          <w:p w14:paraId="2781ABA7" w14:textId="441E342C" w:rsidR="001164D9" w:rsidRDefault="001164D9" w:rsidP="001164D9">
            <w:pPr>
              <w:jc w:val="center"/>
              <w:rPr>
                <w:rFonts w:ascii="Arial" w:hAnsi="Arial" w:cs="Arial"/>
                <w:sz w:val="52"/>
                <w:szCs w:val="52"/>
              </w:rPr>
            </w:pPr>
            <w:r>
              <w:rPr>
                <w:rFonts w:ascii="Arial" w:hAnsi="Arial" w:cs="Arial"/>
                <w:noProof/>
                <w:sz w:val="52"/>
                <w:szCs w:val="52"/>
              </w:rPr>
              <w:drawing>
                <wp:inline distT="0" distB="0" distL="0" distR="0" wp14:anchorId="55C4535A" wp14:editId="488EA0F8">
                  <wp:extent cx="914400" cy="924238"/>
                  <wp:effectExtent l="0" t="0" r="0" b="9525"/>
                  <wp:docPr id="870321349"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21349" name="Picture 21">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914400" cy="924238"/>
                          </a:xfrm>
                          <a:prstGeom prst="rect">
                            <a:avLst/>
                          </a:prstGeom>
                        </pic:spPr>
                      </pic:pic>
                    </a:graphicData>
                  </a:graphic>
                </wp:inline>
              </w:drawing>
            </w:r>
          </w:p>
        </w:tc>
        <w:tc>
          <w:tcPr>
            <w:tcW w:w="8965" w:type="dxa"/>
            <w:gridSpan w:val="2"/>
            <w:vAlign w:val="bottom"/>
            <w:hideMark/>
          </w:tcPr>
          <w:p w14:paraId="68991948" w14:textId="220DD493" w:rsidR="001164D9" w:rsidRPr="00306F7C" w:rsidRDefault="001164D9" w:rsidP="001164D9">
            <w:pPr>
              <w:rPr>
                <w:rFonts w:ascii="Arial" w:hAnsi="Arial" w:cs="Arial"/>
                <w:sz w:val="52"/>
                <w:szCs w:val="52"/>
              </w:rPr>
            </w:pPr>
            <w:r>
              <w:rPr>
                <w:rFonts w:ascii="Arial" w:hAnsi="Arial" w:cs="Arial"/>
                <w:color w:val="595959"/>
                <w:sz w:val="52"/>
                <w:szCs w:val="52"/>
              </w:rPr>
              <w:t>Hugh F. Johnston</w:t>
            </w:r>
          </w:p>
        </w:tc>
      </w:tr>
      <w:tr w:rsidR="001164D9" w14:paraId="43D7462F" w14:textId="77777777" w:rsidTr="001164D9">
        <w:trPr>
          <w:cantSplit/>
        </w:trPr>
        <w:tc>
          <w:tcPr>
            <w:tcW w:w="1835" w:type="dxa"/>
            <w:gridSpan w:val="2"/>
            <w:vMerge/>
            <w:tcMar>
              <w:top w:w="0" w:type="dxa"/>
              <w:left w:w="144" w:type="dxa"/>
              <w:bottom w:w="0" w:type="dxa"/>
              <w:right w:w="0" w:type="dxa"/>
            </w:tcMar>
            <w:hideMark/>
          </w:tcPr>
          <w:p w14:paraId="530718E9" w14:textId="77777777" w:rsidR="001164D9" w:rsidRDefault="001164D9">
            <w:pPr>
              <w:rPr>
                <w:rFonts w:ascii="Arial" w:hAnsi="Arial" w:cs="Arial"/>
                <w:sz w:val="52"/>
                <w:szCs w:val="52"/>
              </w:rPr>
            </w:pPr>
          </w:p>
        </w:tc>
        <w:tc>
          <w:tcPr>
            <w:tcW w:w="8965" w:type="dxa"/>
            <w:gridSpan w:val="2"/>
            <w:vAlign w:val="bottom"/>
            <w:hideMark/>
          </w:tcPr>
          <w:p w14:paraId="52538B65" w14:textId="77777777" w:rsidR="001164D9" w:rsidRDefault="001164D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62 | </w:t>
            </w:r>
            <w:r>
              <w:rPr>
                <w:rFonts w:ascii="Arial" w:hAnsi="Arial" w:cs="Arial"/>
                <w:b/>
                <w:bCs/>
                <w:sz w:val="20"/>
                <w:szCs w:val="20"/>
              </w:rPr>
              <w:t>Director since:</w:t>
            </w:r>
            <w:r>
              <w:rPr>
                <w:rFonts w:ascii="Arial" w:hAnsi="Arial" w:cs="Arial"/>
                <w:sz w:val="20"/>
                <w:szCs w:val="20"/>
              </w:rPr>
              <w:t xml:space="preserve"> 2017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2189267A" w14:textId="66678198" w:rsidR="001164D9" w:rsidRDefault="001164D9">
            <w:pPr>
              <w:pStyle w:val="NormalWeb"/>
              <w:spacing w:before="0" w:beforeAutospacing="0" w:after="0" w:afterAutospacing="0"/>
              <w:rPr>
                <w:rFonts w:ascii="Arial" w:hAnsi="Arial" w:cs="Arial"/>
                <w:sz w:val="12"/>
                <w:szCs w:val="12"/>
              </w:rPr>
            </w:pPr>
            <w:r>
              <w:rPr>
                <w:rFonts w:ascii="Arial" w:hAnsi="Arial" w:cs="Arial"/>
                <w:sz w:val="12"/>
                <w:szCs w:val="12"/>
              </w:rPr>
              <w:t> </w:t>
            </w:r>
          </w:p>
          <w:p w14:paraId="021A3E5E" w14:textId="32E3B30F" w:rsidR="001164D9" w:rsidRPr="003C471E" w:rsidRDefault="001164D9" w:rsidP="003C471E">
            <w:pPr>
              <w:pStyle w:val="NormalWeb"/>
              <w:spacing w:before="0" w:beforeAutospacing="0" w:after="0" w:afterAutospacing="0"/>
              <w:rPr>
                <w:rFonts w:ascii="Arial" w:hAnsi="Arial" w:cs="Arial"/>
                <w:sz w:val="50"/>
                <w:szCs w:val="50"/>
              </w:rPr>
            </w:pPr>
            <w:r>
              <w:rPr>
                <w:rFonts w:ascii="Arial" w:hAnsi="Arial" w:cs="Arial"/>
                <w:b/>
                <w:bCs/>
                <w:noProof/>
                <w:sz w:val="50"/>
                <w:szCs w:val="50"/>
              </w:rPr>
              <w:drawing>
                <wp:inline distT="0" distB="0" distL="0" distR="0" wp14:anchorId="423DFA21" wp14:editId="4BEF1E4B">
                  <wp:extent cx="1206417" cy="274320"/>
                  <wp:effectExtent l="0" t="0" r="0" b="0"/>
                  <wp:docPr id="1391639042" name="Picture 22" descr="Mr. Johnston has experience in finance, global business, leadership, and mergers and acqui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39042" name="Picture 22" descr="Mr. Johnston has experience in finance, global business, leadership, and mergers and acquisition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6417" cy="274320"/>
                          </a:xfrm>
                          <a:prstGeom prst="rect">
                            <a:avLst/>
                          </a:prstGeom>
                        </pic:spPr>
                      </pic:pic>
                    </a:graphicData>
                  </a:graphic>
                </wp:inline>
              </w:drawing>
            </w:r>
          </w:p>
        </w:tc>
      </w:tr>
    </w:tbl>
    <w:p w14:paraId="34AC4F18" w14:textId="77777777" w:rsidR="00D246A9" w:rsidRPr="00306F7C" w:rsidRDefault="00D246A9">
      <w:pPr>
        <w:pStyle w:val="NormalWeb"/>
        <w:keepNext/>
        <w:spacing w:before="0" w:beforeAutospacing="0" w:after="0" w:afterAutospacing="0"/>
        <w:rPr>
          <w:sz w:val="2"/>
          <w:szCs w:val="2"/>
        </w:rPr>
      </w:pPr>
      <w:r>
        <w:rPr>
          <w:sz w:val="2"/>
          <w:szCs w:val="2"/>
        </w:rPr>
        <w:t> </w:t>
      </w:r>
    </w:p>
    <w:tbl>
      <w:tblPr>
        <w:tblW w:w="9833" w:type="dxa"/>
        <w:tblInd w:w="489" w:type="dxa"/>
        <w:tblLayout w:type="fixed"/>
        <w:tblCellMar>
          <w:left w:w="0" w:type="dxa"/>
          <w:right w:w="0" w:type="dxa"/>
        </w:tblCellMar>
        <w:tblLook w:val="0600" w:firstRow="0" w:lastRow="0" w:firstColumn="0" w:lastColumn="0" w:noHBand="1" w:noVBand="1"/>
      </w:tblPr>
      <w:tblGrid>
        <w:gridCol w:w="5513"/>
        <w:gridCol w:w="4320"/>
      </w:tblGrid>
      <w:tr w:rsidR="001164D9" w14:paraId="10B2F55A" w14:textId="77777777" w:rsidTr="001164D9">
        <w:trPr>
          <w:cantSplit/>
        </w:trPr>
        <w:tc>
          <w:tcPr>
            <w:tcW w:w="5513" w:type="dxa"/>
            <w:tcBorders>
              <w:bottom w:val="single" w:sz="6" w:space="0" w:color="999999"/>
            </w:tcBorders>
            <w:hideMark/>
          </w:tcPr>
          <w:p w14:paraId="11F00284" w14:textId="77777777" w:rsidR="001164D9" w:rsidRPr="00306F7C" w:rsidRDefault="001164D9" w:rsidP="003C471E">
            <w:pPr>
              <w:pStyle w:val="NormalWeb"/>
              <w:spacing w:before="0" w:beforeAutospacing="0" w:after="0" w:afterAutospacing="0"/>
              <w:rPr>
                <w:rFonts w:ascii="Arial" w:hAnsi="Arial" w:cs="Arial"/>
                <w:sz w:val="18"/>
                <w:szCs w:val="18"/>
              </w:rPr>
            </w:pPr>
            <w:r>
              <w:rPr>
                <w:rFonts w:ascii="Arial" w:hAnsi="Arial" w:cs="Arial"/>
                <w:b/>
                <w:bCs/>
                <w:sz w:val="18"/>
                <w:szCs w:val="18"/>
              </w:rPr>
              <w:t>Experience:</w:t>
            </w:r>
          </w:p>
          <w:p w14:paraId="3F9D35A7" w14:textId="77777777" w:rsidR="001164D9" w:rsidRDefault="001164D9" w:rsidP="003C471E">
            <w:pPr>
              <w:pStyle w:val="NormalWeb"/>
              <w:spacing w:before="0" w:beforeAutospacing="0" w:after="0" w:afterAutospacing="0"/>
              <w:rPr>
                <w:rFonts w:ascii="Arial" w:hAnsi="Arial" w:cs="Arial"/>
                <w:sz w:val="18"/>
                <w:szCs w:val="18"/>
              </w:rPr>
            </w:pPr>
            <w:r>
              <w:rPr>
                <w:rFonts w:ascii="Arial" w:hAnsi="Arial" w:cs="Arial"/>
                <w:b/>
                <w:bCs/>
                <w:color w:val="0075C9"/>
                <w:sz w:val="18"/>
                <w:szCs w:val="18"/>
              </w:rPr>
              <w:t>PepsiCo, Inc. (1987-1999 and 2002-present)</w:t>
            </w:r>
          </w:p>
          <w:p w14:paraId="0D202E40" w14:textId="77777777" w:rsidR="001164D9" w:rsidRDefault="001164D9" w:rsidP="003C471E">
            <w:pPr>
              <w:pStyle w:val="NormalWeb"/>
              <w:spacing w:before="0" w:beforeAutospacing="0" w:after="0" w:afterAutospacing="0"/>
              <w:rPr>
                <w:rFonts w:ascii="Arial" w:hAnsi="Arial" w:cs="Arial"/>
                <w:sz w:val="18"/>
                <w:szCs w:val="18"/>
              </w:rPr>
            </w:pPr>
            <w:r>
              <w:rPr>
                <w:rFonts w:ascii="Arial" w:hAnsi="Arial" w:cs="Arial"/>
                <w:color w:val="0075C9"/>
                <w:sz w:val="18"/>
                <w:szCs w:val="18"/>
              </w:rPr>
              <w:t>(food and beverage company)</w:t>
            </w:r>
          </w:p>
          <w:p w14:paraId="269AF3EA" w14:textId="77777777" w:rsidR="001164D9" w:rsidRDefault="001164D9" w:rsidP="003C471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Vice Chairman (2015-present)</w:t>
            </w:r>
            <w:r>
              <w:rPr>
                <w:rFonts w:ascii="Arial" w:hAnsi="Arial" w:cs="Arial"/>
                <w:sz w:val="18"/>
                <w:szCs w:val="18"/>
              </w:rPr>
              <w:t> </w:t>
            </w:r>
          </w:p>
          <w:p w14:paraId="218C275C" w14:textId="77777777" w:rsidR="001164D9" w:rsidRDefault="001164D9" w:rsidP="003C471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Chief Financial Officer (2010-present)</w:t>
            </w:r>
          </w:p>
          <w:p w14:paraId="18CEB59D" w14:textId="77777777" w:rsidR="001164D9" w:rsidRDefault="001164D9" w:rsidP="003C471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Global Operations (2009-2010)</w:t>
            </w:r>
          </w:p>
          <w:p w14:paraId="4D19FC8F" w14:textId="77777777" w:rsidR="001164D9" w:rsidRDefault="001164D9" w:rsidP="003C471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Pepsi-Cola North America (2007-2009)</w:t>
            </w:r>
          </w:p>
          <w:p w14:paraId="78FAE073" w14:textId="77777777" w:rsidR="001164D9" w:rsidRDefault="001164D9" w:rsidP="003C471E">
            <w:pPr>
              <w:pStyle w:val="NormalWeb"/>
              <w:widowControl w:val="0"/>
              <w:spacing w:before="0" w:beforeAutospacing="0" w:after="0" w:afterAutospacing="0"/>
              <w:ind w:left="245" w:hanging="245"/>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w:t>
            </w:r>
            <w:r>
              <w:rPr>
                <w:rFonts w:ascii="Arial" w:hAnsi="Arial" w:cs="Arial"/>
                <w:sz w:val="18"/>
                <w:szCs w:val="18"/>
              </w:rPr>
              <w:br/>
              <w:t>(1987-1999 and 2002-2007)</w:t>
            </w:r>
          </w:p>
          <w:p w14:paraId="4B818833" w14:textId="77777777" w:rsidR="001164D9" w:rsidRDefault="001164D9" w:rsidP="003C471E">
            <w:pPr>
              <w:pStyle w:val="NormalWeb"/>
              <w:spacing w:before="0" w:beforeAutospacing="0" w:after="0" w:afterAutospacing="0"/>
              <w:rPr>
                <w:rFonts w:ascii="Arial" w:hAnsi="Arial" w:cs="Arial"/>
                <w:sz w:val="18"/>
                <w:szCs w:val="18"/>
              </w:rPr>
            </w:pPr>
            <w:r>
              <w:rPr>
                <w:rFonts w:ascii="Arial" w:hAnsi="Arial" w:cs="Arial"/>
                <w:b/>
                <w:bCs/>
                <w:color w:val="0075C9"/>
                <w:sz w:val="18"/>
                <w:szCs w:val="18"/>
              </w:rPr>
              <w:t>Merck &amp; Co., Inc. (1999-2002)</w:t>
            </w:r>
          </w:p>
          <w:p w14:paraId="4352E013" w14:textId="77777777" w:rsidR="001164D9" w:rsidRDefault="001164D9" w:rsidP="003C471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Vice President, Retail Marketing, Merck-Medco Managed Care LLC (1999-2002)</w:t>
            </w:r>
          </w:p>
          <w:p w14:paraId="5D6B00AF" w14:textId="77777777" w:rsidR="001164D9" w:rsidRDefault="001164D9" w:rsidP="003C471E">
            <w:pPr>
              <w:pStyle w:val="NormalWeb"/>
              <w:spacing w:before="0" w:beforeAutospacing="0" w:after="20" w:afterAutospacing="0"/>
              <w:rPr>
                <w:rFonts w:ascii="Arial" w:hAnsi="Arial" w:cs="Arial"/>
                <w:sz w:val="18"/>
                <w:szCs w:val="18"/>
              </w:rPr>
            </w:pPr>
            <w:r>
              <w:rPr>
                <w:rFonts w:ascii="Arial" w:hAnsi="Arial" w:cs="Arial"/>
                <w:sz w:val="18"/>
                <w:szCs w:val="18"/>
              </w:rPr>
              <w:t> </w:t>
            </w:r>
          </w:p>
        </w:tc>
        <w:tc>
          <w:tcPr>
            <w:tcW w:w="4320" w:type="dxa"/>
            <w:tcBorders>
              <w:bottom w:val="single" w:sz="6" w:space="0" w:color="999999"/>
            </w:tcBorders>
            <w:hideMark/>
          </w:tcPr>
          <w:p w14:paraId="6D0613DC" w14:textId="77777777" w:rsidR="001164D9" w:rsidRDefault="001164D9" w:rsidP="003C471E">
            <w:pPr>
              <w:pStyle w:val="NormalWeb"/>
              <w:spacing w:before="0" w:beforeAutospacing="0" w:after="0" w:afterAutospacing="0"/>
              <w:rPr>
                <w:rFonts w:ascii="Arial" w:hAnsi="Arial" w:cs="Arial"/>
                <w:sz w:val="18"/>
                <w:szCs w:val="18"/>
              </w:rPr>
            </w:pPr>
            <w:r>
              <w:rPr>
                <w:rFonts w:ascii="Arial" w:hAnsi="Arial" w:cs="Arial"/>
                <w:b/>
                <w:bCs/>
                <w:sz w:val="18"/>
                <w:szCs w:val="18"/>
              </w:rPr>
              <w:t>Microsoft Committees:</w:t>
            </w:r>
            <w:r>
              <w:rPr>
                <w:rFonts w:ascii="Arial" w:hAnsi="Arial" w:cs="Arial"/>
                <w:b/>
                <w:bCs/>
                <w:sz w:val="18"/>
                <w:szCs w:val="18"/>
              </w:rPr>
              <w:t> </w:t>
            </w:r>
          </w:p>
          <w:p w14:paraId="1D34DA68" w14:textId="77777777" w:rsidR="001164D9" w:rsidRDefault="001164D9" w:rsidP="003C471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Audit (Chair)</w:t>
            </w:r>
          </w:p>
          <w:p w14:paraId="0FAB8873" w14:textId="77777777" w:rsidR="001164D9" w:rsidRDefault="001164D9" w:rsidP="003C471E">
            <w:pPr>
              <w:pStyle w:val="NormalWeb"/>
              <w:spacing w:before="0" w:beforeAutospacing="0" w:after="0" w:afterAutospacing="0"/>
              <w:rPr>
                <w:rFonts w:ascii="Arial" w:hAnsi="Arial" w:cs="Arial"/>
              </w:rPr>
            </w:pPr>
            <w:r>
              <w:rPr>
                <w:rFonts w:ascii="Arial" w:hAnsi="Arial" w:cs="Arial"/>
              </w:rPr>
              <w:t> </w:t>
            </w:r>
          </w:p>
          <w:p w14:paraId="429E4DE3" w14:textId="77777777" w:rsidR="001164D9" w:rsidRDefault="001164D9" w:rsidP="003C471E">
            <w:pPr>
              <w:pStyle w:val="NormalWeb"/>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4E1EDA73" w14:textId="77777777" w:rsidR="001164D9" w:rsidRDefault="001164D9" w:rsidP="003C471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HCA Healthcare, Inc.</w:t>
            </w:r>
          </w:p>
          <w:p w14:paraId="10AF5794" w14:textId="77777777" w:rsidR="001164D9" w:rsidRDefault="001164D9" w:rsidP="003C471E">
            <w:pPr>
              <w:pStyle w:val="NormalWeb"/>
              <w:spacing w:before="0" w:beforeAutospacing="0" w:after="0" w:afterAutospacing="0"/>
              <w:rPr>
                <w:rFonts w:ascii="Arial" w:hAnsi="Arial" w:cs="Arial"/>
              </w:rPr>
            </w:pPr>
            <w:r>
              <w:rPr>
                <w:rFonts w:ascii="Arial" w:hAnsi="Arial" w:cs="Arial"/>
              </w:rPr>
              <w:t> </w:t>
            </w:r>
          </w:p>
          <w:p w14:paraId="31BF8E86" w14:textId="77777777" w:rsidR="001164D9" w:rsidRDefault="001164D9" w:rsidP="003C471E">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1CCB88A4" w14:textId="77777777" w:rsidR="001164D9" w:rsidRDefault="001164D9" w:rsidP="003C471E">
            <w:pPr>
              <w:pStyle w:val="NormalWeb"/>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4745CCE0" w14:textId="77777777" w:rsidR="001164D9" w:rsidRDefault="001164D9" w:rsidP="003C471E">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tc>
      </w:tr>
    </w:tbl>
    <w:p w14:paraId="63CF51A3" w14:textId="7BD25D7F" w:rsidR="003C471E" w:rsidRDefault="003C471E">
      <w:pPr>
        <w:pStyle w:val="NormalWeb"/>
        <w:keepNext/>
        <w:spacing w:before="0" w:beforeAutospacing="0" w:after="0" w:afterAutospacing="0"/>
        <w:rPr>
          <w:sz w:val="48"/>
          <w:szCs w:val="48"/>
        </w:rPr>
      </w:pPr>
    </w:p>
    <w:p w14:paraId="08B8F5E4" w14:textId="5059DCCD" w:rsidR="003C471E" w:rsidRDefault="003C471E">
      <w:pPr>
        <w:rPr>
          <w:sz w:val="48"/>
          <w:szCs w:val="48"/>
        </w:rPr>
      </w:pPr>
      <w:r>
        <w:rPr>
          <w:noProof/>
          <w:sz w:val="48"/>
          <w:szCs w:val="48"/>
        </w:rPr>
        <w:drawing>
          <wp:anchor distT="0" distB="0" distL="114300" distR="114300" simplePos="0" relativeHeight="251673599" behindDoc="0" locked="0" layoutInCell="1" allowOverlap="1" wp14:anchorId="6D8F6846" wp14:editId="22365496">
            <wp:simplePos x="0" y="0"/>
            <wp:positionH relativeFrom="column">
              <wp:posOffset>0</wp:posOffset>
            </wp:positionH>
            <wp:positionV relativeFrom="paragraph">
              <wp:posOffset>1607185</wp:posOffset>
            </wp:positionV>
            <wp:extent cx="6851650" cy="368300"/>
            <wp:effectExtent l="0" t="0" r="6350" b="0"/>
            <wp:wrapNone/>
            <wp:docPr id="2001388849"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88849" name="Picture 32">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165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rPr>
        <w:br w:type="page"/>
      </w:r>
    </w:p>
    <w:p w14:paraId="05AED8F6" w14:textId="77777777" w:rsidR="001164D9" w:rsidRPr="00306F7C" w:rsidRDefault="001164D9">
      <w:pPr>
        <w:pStyle w:val="NormalWeb"/>
        <w:keepNext/>
        <w:spacing w:before="0" w:beforeAutospacing="0" w:after="0" w:afterAutospacing="0"/>
        <w:rPr>
          <w:sz w:val="48"/>
          <w:szCs w:val="48"/>
        </w:rPr>
      </w:pPr>
    </w:p>
    <w:tbl>
      <w:tblPr>
        <w:tblW w:w="10805" w:type="dxa"/>
        <w:jc w:val="center"/>
        <w:tblLayout w:type="fixed"/>
        <w:tblCellMar>
          <w:left w:w="0" w:type="dxa"/>
          <w:right w:w="0" w:type="dxa"/>
        </w:tblCellMar>
        <w:tblLook w:val="0600" w:firstRow="0" w:lastRow="0" w:firstColumn="0" w:lastColumn="0" w:noHBand="1" w:noVBand="1"/>
      </w:tblPr>
      <w:tblGrid>
        <w:gridCol w:w="189"/>
        <w:gridCol w:w="564"/>
        <w:gridCol w:w="1082"/>
        <w:gridCol w:w="59"/>
        <w:gridCol w:w="504"/>
        <w:gridCol w:w="672"/>
        <w:gridCol w:w="189"/>
        <w:gridCol w:w="504"/>
        <w:gridCol w:w="754"/>
        <w:gridCol w:w="189"/>
        <w:gridCol w:w="504"/>
        <w:gridCol w:w="867"/>
        <w:gridCol w:w="189"/>
        <w:gridCol w:w="474"/>
        <w:gridCol w:w="963"/>
        <w:gridCol w:w="189"/>
        <w:gridCol w:w="504"/>
        <w:gridCol w:w="766"/>
        <w:gridCol w:w="189"/>
        <w:gridCol w:w="579"/>
        <w:gridCol w:w="875"/>
      </w:tblGrid>
      <w:tr w:rsidR="001164D9" w14:paraId="426F4B5C" w14:textId="77777777" w:rsidTr="009E43ED">
        <w:trPr>
          <w:tblHeader/>
          <w:jc w:val="center"/>
        </w:trPr>
        <w:tc>
          <w:tcPr>
            <w:tcW w:w="189" w:type="dxa"/>
            <w:vAlign w:val="center"/>
            <w:hideMark/>
          </w:tcPr>
          <w:p w14:paraId="4ADC93B3" w14:textId="77777777" w:rsidR="001164D9" w:rsidRDefault="001164D9" w:rsidP="00F7194E">
            <w:pPr>
              <w:rPr>
                <w:sz w:val="48"/>
                <w:szCs w:val="48"/>
              </w:rPr>
            </w:pPr>
          </w:p>
        </w:tc>
        <w:tc>
          <w:tcPr>
            <w:tcW w:w="564" w:type="dxa"/>
            <w:vAlign w:val="center"/>
            <w:hideMark/>
          </w:tcPr>
          <w:p w14:paraId="0B1B1EF6" w14:textId="77777777" w:rsidR="001164D9" w:rsidRDefault="001164D9" w:rsidP="00F7194E">
            <w:pPr>
              <w:rPr>
                <w:sz w:val="20"/>
              </w:rPr>
            </w:pPr>
          </w:p>
        </w:tc>
        <w:tc>
          <w:tcPr>
            <w:tcW w:w="1141" w:type="dxa"/>
            <w:gridSpan w:val="2"/>
            <w:vAlign w:val="center"/>
            <w:hideMark/>
          </w:tcPr>
          <w:p w14:paraId="2A7F6A2F" w14:textId="77777777" w:rsidR="001164D9" w:rsidRDefault="001164D9" w:rsidP="00F7194E">
            <w:pPr>
              <w:rPr>
                <w:sz w:val="20"/>
              </w:rPr>
            </w:pPr>
          </w:p>
        </w:tc>
        <w:tc>
          <w:tcPr>
            <w:tcW w:w="504" w:type="dxa"/>
            <w:vAlign w:val="center"/>
            <w:hideMark/>
          </w:tcPr>
          <w:p w14:paraId="751943FE" w14:textId="77777777" w:rsidR="001164D9" w:rsidRDefault="001164D9" w:rsidP="00F7194E">
            <w:pPr>
              <w:rPr>
                <w:sz w:val="20"/>
              </w:rPr>
            </w:pPr>
          </w:p>
        </w:tc>
        <w:tc>
          <w:tcPr>
            <w:tcW w:w="672" w:type="dxa"/>
            <w:vAlign w:val="center"/>
            <w:hideMark/>
          </w:tcPr>
          <w:p w14:paraId="65526CF2" w14:textId="77777777" w:rsidR="001164D9" w:rsidRDefault="001164D9" w:rsidP="00F7194E">
            <w:pPr>
              <w:rPr>
                <w:sz w:val="20"/>
              </w:rPr>
            </w:pPr>
          </w:p>
        </w:tc>
        <w:tc>
          <w:tcPr>
            <w:tcW w:w="189" w:type="dxa"/>
            <w:vAlign w:val="center"/>
            <w:hideMark/>
          </w:tcPr>
          <w:p w14:paraId="262A5B8E" w14:textId="77777777" w:rsidR="001164D9" w:rsidRDefault="001164D9" w:rsidP="00F7194E">
            <w:pPr>
              <w:rPr>
                <w:sz w:val="20"/>
              </w:rPr>
            </w:pPr>
          </w:p>
        </w:tc>
        <w:tc>
          <w:tcPr>
            <w:tcW w:w="504" w:type="dxa"/>
            <w:vAlign w:val="center"/>
            <w:hideMark/>
          </w:tcPr>
          <w:p w14:paraId="42070FAE" w14:textId="77777777" w:rsidR="001164D9" w:rsidRDefault="001164D9" w:rsidP="00F7194E">
            <w:pPr>
              <w:rPr>
                <w:sz w:val="20"/>
              </w:rPr>
            </w:pPr>
          </w:p>
        </w:tc>
        <w:tc>
          <w:tcPr>
            <w:tcW w:w="754" w:type="dxa"/>
            <w:vAlign w:val="center"/>
            <w:hideMark/>
          </w:tcPr>
          <w:p w14:paraId="23F16FC9" w14:textId="77777777" w:rsidR="001164D9" w:rsidRDefault="001164D9" w:rsidP="00F7194E">
            <w:pPr>
              <w:rPr>
                <w:sz w:val="20"/>
              </w:rPr>
            </w:pPr>
          </w:p>
        </w:tc>
        <w:tc>
          <w:tcPr>
            <w:tcW w:w="189" w:type="dxa"/>
            <w:vAlign w:val="center"/>
            <w:hideMark/>
          </w:tcPr>
          <w:p w14:paraId="005A493E" w14:textId="77777777" w:rsidR="001164D9" w:rsidRDefault="001164D9" w:rsidP="00F7194E">
            <w:pPr>
              <w:rPr>
                <w:sz w:val="20"/>
              </w:rPr>
            </w:pPr>
          </w:p>
        </w:tc>
        <w:tc>
          <w:tcPr>
            <w:tcW w:w="504" w:type="dxa"/>
            <w:vAlign w:val="center"/>
            <w:hideMark/>
          </w:tcPr>
          <w:p w14:paraId="22B86D1F" w14:textId="77777777" w:rsidR="001164D9" w:rsidRDefault="001164D9" w:rsidP="00F7194E">
            <w:pPr>
              <w:rPr>
                <w:sz w:val="20"/>
              </w:rPr>
            </w:pPr>
          </w:p>
        </w:tc>
        <w:tc>
          <w:tcPr>
            <w:tcW w:w="867" w:type="dxa"/>
            <w:vAlign w:val="center"/>
            <w:hideMark/>
          </w:tcPr>
          <w:p w14:paraId="183F0E70" w14:textId="77777777" w:rsidR="001164D9" w:rsidRDefault="001164D9" w:rsidP="00F7194E">
            <w:pPr>
              <w:rPr>
                <w:sz w:val="20"/>
              </w:rPr>
            </w:pPr>
          </w:p>
        </w:tc>
        <w:tc>
          <w:tcPr>
            <w:tcW w:w="189" w:type="dxa"/>
            <w:vAlign w:val="center"/>
            <w:hideMark/>
          </w:tcPr>
          <w:p w14:paraId="4619AE30" w14:textId="77777777" w:rsidR="001164D9" w:rsidRDefault="001164D9" w:rsidP="00F7194E">
            <w:pPr>
              <w:rPr>
                <w:sz w:val="20"/>
              </w:rPr>
            </w:pPr>
          </w:p>
        </w:tc>
        <w:tc>
          <w:tcPr>
            <w:tcW w:w="474" w:type="dxa"/>
            <w:vAlign w:val="center"/>
            <w:hideMark/>
          </w:tcPr>
          <w:p w14:paraId="623C368F" w14:textId="77777777" w:rsidR="001164D9" w:rsidRDefault="001164D9" w:rsidP="00F7194E">
            <w:pPr>
              <w:rPr>
                <w:sz w:val="20"/>
              </w:rPr>
            </w:pPr>
          </w:p>
        </w:tc>
        <w:tc>
          <w:tcPr>
            <w:tcW w:w="963" w:type="dxa"/>
            <w:vAlign w:val="center"/>
            <w:hideMark/>
          </w:tcPr>
          <w:p w14:paraId="3B0604F6" w14:textId="77777777" w:rsidR="001164D9" w:rsidRDefault="001164D9" w:rsidP="00F7194E">
            <w:pPr>
              <w:rPr>
                <w:sz w:val="20"/>
              </w:rPr>
            </w:pPr>
          </w:p>
        </w:tc>
        <w:tc>
          <w:tcPr>
            <w:tcW w:w="189" w:type="dxa"/>
            <w:vAlign w:val="center"/>
            <w:hideMark/>
          </w:tcPr>
          <w:p w14:paraId="70F91241" w14:textId="77777777" w:rsidR="001164D9" w:rsidRDefault="001164D9" w:rsidP="00F7194E">
            <w:pPr>
              <w:rPr>
                <w:sz w:val="20"/>
              </w:rPr>
            </w:pPr>
          </w:p>
        </w:tc>
        <w:tc>
          <w:tcPr>
            <w:tcW w:w="504" w:type="dxa"/>
            <w:vAlign w:val="center"/>
            <w:hideMark/>
          </w:tcPr>
          <w:p w14:paraId="1E3E2CFE" w14:textId="77777777" w:rsidR="001164D9" w:rsidRDefault="001164D9" w:rsidP="00F7194E">
            <w:pPr>
              <w:rPr>
                <w:sz w:val="20"/>
              </w:rPr>
            </w:pPr>
          </w:p>
        </w:tc>
        <w:tc>
          <w:tcPr>
            <w:tcW w:w="766" w:type="dxa"/>
            <w:vAlign w:val="center"/>
            <w:hideMark/>
          </w:tcPr>
          <w:p w14:paraId="5250DCF8" w14:textId="77777777" w:rsidR="001164D9" w:rsidRDefault="001164D9" w:rsidP="00F7194E">
            <w:pPr>
              <w:rPr>
                <w:sz w:val="20"/>
              </w:rPr>
            </w:pPr>
          </w:p>
        </w:tc>
        <w:tc>
          <w:tcPr>
            <w:tcW w:w="189" w:type="dxa"/>
            <w:vAlign w:val="center"/>
            <w:hideMark/>
          </w:tcPr>
          <w:p w14:paraId="033A07FD" w14:textId="77777777" w:rsidR="001164D9" w:rsidRDefault="001164D9" w:rsidP="00F7194E">
            <w:pPr>
              <w:rPr>
                <w:sz w:val="20"/>
              </w:rPr>
            </w:pPr>
          </w:p>
        </w:tc>
        <w:tc>
          <w:tcPr>
            <w:tcW w:w="579" w:type="dxa"/>
            <w:vAlign w:val="center"/>
            <w:hideMark/>
          </w:tcPr>
          <w:p w14:paraId="64512BFB" w14:textId="77777777" w:rsidR="001164D9" w:rsidRDefault="001164D9" w:rsidP="00F7194E">
            <w:pPr>
              <w:rPr>
                <w:sz w:val="20"/>
              </w:rPr>
            </w:pPr>
          </w:p>
        </w:tc>
        <w:tc>
          <w:tcPr>
            <w:tcW w:w="875" w:type="dxa"/>
            <w:vAlign w:val="center"/>
            <w:hideMark/>
          </w:tcPr>
          <w:p w14:paraId="1911296F" w14:textId="77777777" w:rsidR="001164D9" w:rsidRDefault="001164D9" w:rsidP="00F7194E">
            <w:pPr>
              <w:rPr>
                <w:sz w:val="20"/>
              </w:rPr>
            </w:pPr>
          </w:p>
        </w:tc>
      </w:tr>
      <w:tr w:rsidR="001164D9" w14:paraId="7421C66A" w14:textId="77777777" w:rsidTr="009E43ED">
        <w:tblPrEx>
          <w:jc w:val="left"/>
        </w:tblPrEx>
        <w:trPr>
          <w:cantSplit/>
          <w:trHeight w:val="598"/>
        </w:trPr>
        <w:tc>
          <w:tcPr>
            <w:tcW w:w="1835" w:type="dxa"/>
            <w:gridSpan w:val="3"/>
            <w:vMerge w:val="restart"/>
            <w:tcMar>
              <w:top w:w="0" w:type="dxa"/>
              <w:left w:w="144" w:type="dxa"/>
              <w:bottom w:w="0" w:type="dxa"/>
              <w:right w:w="0" w:type="dxa"/>
            </w:tcMar>
            <w:hideMark/>
          </w:tcPr>
          <w:p w14:paraId="42AADF90" w14:textId="77777777" w:rsidR="001164D9" w:rsidRDefault="001164D9" w:rsidP="00F7194E">
            <w:pPr>
              <w:jc w:val="center"/>
              <w:rPr>
                <w:rFonts w:ascii="Arial" w:hAnsi="Arial" w:cs="Arial"/>
                <w:sz w:val="52"/>
                <w:szCs w:val="52"/>
              </w:rPr>
            </w:pPr>
            <w:r>
              <w:rPr>
                <w:rFonts w:ascii="Arial" w:hAnsi="Arial" w:cs="Arial"/>
                <w:noProof/>
                <w:sz w:val="52"/>
                <w:szCs w:val="52"/>
              </w:rPr>
              <w:drawing>
                <wp:inline distT="0" distB="0" distL="0" distR="0" wp14:anchorId="7D1ED646" wp14:editId="1EA54880">
                  <wp:extent cx="914400" cy="924237"/>
                  <wp:effectExtent l="0" t="0" r="0" b="9525"/>
                  <wp:docPr id="2134960168" name="Picture 2134960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60168" name="Picture 213496016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914400" cy="924237"/>
                          </a:xfrm>
                          <a:prstGeom prst="rect">
                            <a:avLst/>
                          </a:prstGeom>
                        </pic:spPr>
                      </pic:pic>
                    </a:graphicData>
                  </a:graphic>
                </wp:inline>
              </w:drawing>
            </w:r>
          </w:p>
        </w:tc>
        <w:tc>
          <w:tcPr>
            <w:tcW w:w="8970" w:type="dxa"/>
            <w:gridSpan w:val="18"/>
            <w:vAlign w:val="bottom"/>
            <w:hideMark/>
          </w:tcPr>
          <w:p w14:paraId="304F7AAB" w14:textId="48DED1A9" w:rsidR="001164D9" w:rsidRPr="00306F7C" w:rsidRDefault="001164D9" w:rsidP="00F7194E">
            <w:pPr>
              <w:widowControl w:val="0"/>
              <w:rPr>
                <w:rFonts w:ascii="Arial" w:hAnsi="Arial" w:cs="Arial"/>
                <w:sz w:val="52"/>
                <w:szCs w:val="52"/>
              </w:rPr>
            </w:pPr>
            <w:r>
              <w:rPr>
                <w:rFonts w:ascii="Arial" w:hAnsi="Arial" w:cs="Arial"/>
                <w:color w:val="595959"/>
                <w:sz w:val="52"/>
                <w:szCs w:val="52"/>
              </w:rPr>
              <w:t>Teri L. List</w:t>
            </w:r>
          </w:p>
        </w:tc>
      </w:tr>
      <w:tr w:rsidR="001164D9" w14:paraId="63A647D6" w14:textId="77777777" w:rsidTr="009E43ED">
        <w:tblPrEx>
          <w:jc w:val="left"/>
        </w:tblPrEx>
        <w:trPr>
          <w:cantSplit/>
        </w:trPr>
        <w:tc>
          <w:tcPr>
            <w:tcW w:w="1835" w:type="dxa"/>
            <w:gridSpan w:val="3"/>
            <w:vMerge/>
            <w:tcMar>
              <w:top w:w="0" w:type="dxa"/>
              <w:left w:w="144" w:type="dxa"/>
              <w:bottom w:w="0" w:type="dxa"/>
              <w:right w:w="0" w:type="dxa"/>
            </w:tcMar>
            <w:hideMark/>
          </w:tcPr>
          <w:p w14:paraId="4EC5B79C" w14:textId="77777777" w:rsidR="001164D9" w:rsidRDefault="001164D9" w:rsidP="00F7194E">
            <w:pPr>
              <w:rPr>
                <w:rFonts w:ascii="Arial" w:hAnsi="Arial" w:cs="Arial"/>
                <w:sz w:val="52"/>
                <w:szCs w:val="52"/>
              </w:rPr>
            </w:pPr>
          </w:p>
        </w:tc>
        <w:tc>
          <w:tcPr>
            <w:tcW w:w="8970" w:type="dxa"/>
            <w:gridSpan w:val="18"/>
            <w:vAlign w:val="bottom"/>
            <w:hideMark/>
          </w:tcPr>
          <w:p w14:paraId="1221B31E" w14:textId="4A715A96" w:rsidR="001164D9" w:rsidRDefault="001164D9" w:rsidP="00F7194E">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60 | </w:t>
            </w:r>
            <w:r>
              <w:rPr>
                <w:rFonts w:ascii="Arial" w:hAnsi="Arial" w:cs="Arial"/>
                <w:b/>
                <w:bCs/>
                <w:sz w:val="20"/>
                <w:szCs w:val="20"/>
              </w:rPr>
              <w:t>Director since:</w:t>
            </w:r>
            <w:r>
              <w:rPr>
                <w:rFonts w:ascii="Arial" w:hAnsi="Arial" w:cs="Arial"/>
                <w:sz w:val="20"/>
                <w:szCs w:val="20"/>
              </w:rPr>
              <w:t xml:space="preserve"> 2014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31E13867" w14:textId="77777777" w:rsidR="001164D9" w:rsidRDefault="001164D9" w:rsidP="00F7194E">
            <w:pPr>
              <w:pStyle w:val="NormalWeb"/>
              <w:spacing w:before="0" w:beforeAutospacing="0" w:after="0" w:afterAutospacing="0"/>
              <w:rPr>
                <w:rFonts w:ascii="Arial" w:hAnsi="Arial" w:cs="Arial"/>
                <w:sz w:val="12"/>
                <w:szCs w:val="12"/>
              </w:rPr>
            </w:pPr>
            <w:r>
              <w:rPr>
                <w:rFonts w:ascii="Arial" w:hAnsi="Arial" w:cs="Arial"/>
                <w:sz w:val="12"/>
                <w:szCs w:val="12"/>
              </w:rPr>
              <w:t> </w:t>
            </w:r>
          </w:p>
          <w:p w14:paraId="283D8B3B" w14:textId="77777777" w:rsidR="001164D9" w:rsidRDefault="001164D9" w:rsidP="00F7194E">
            <w:pPr>
              <w:pStyle w:val="NormalWeb"/>
              <w:spacing w:before="0" w:beforeAutospacing="0" w:after="0" w:afterAutospacing="0"/>
              <w:rPr>
                <w:rFonts w:ascii="Arial" w:hAnsi="Arial" w:cs="Arial"/>
                <w:sz w:val="50"/>
                <w:szCs w:val="50"/>
              </w:rPr>
            </w:pPr>
            <w:r>
              <w:rPr>
                <w:rFonts w:ascii="Arial" w:hAnsi="Arial" w:cs="Arial"/>
                <w:b/>
                <w:bCs/>
                <w:noProof/>
                <w:sz w:val="50"/>
                <w:szCs w:val="50"/>
              </w:rPr>
              <w:drawing>
                <wp:inline distT="0" distB="0" distL="0" distR="0" wp14:anchorId="1841E0B1" wp14:editId="271E2E9E">
                  <wp:extent cx="2008535" cy="274320"/>
                  <wp:effectExtent l="0" t="0" r="0" b="0"/>
                  <wp:docPr id="774396248" name="Picture 774396248" descr="Ms. List has experience in finance, global business, leadership, mergers and acquisitions, and sales and marketing. She also represents diversity on our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96248" name="Picture 774396248" descr="Ms. List has experience in finance, global business, leadership, mergers and acquisitions, and sales and marketing. She also represents diversity on our Board.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8535" cy="274320"/>
                          </a:xfrm>
                          <a:prstGeom prst="rect">
                            <a:avLst/>
                          </a:prstGeom>
                        </pic:spPr>
                      </pic:pic>
                    </a:graphicData>
                  </a:graphic>
                </wp:inline>
              </w:drawing>
            </w:r>
          </w:p>
          <w:p w14:paraId="5C1318AB" w14:textId="77777777" w:rsidR="001164D9" w:rsidRDefault="001164D9" w:rsidP="00F7194E">
            <w:pPr>
              <w:pStyle w:val="NormalWeb"/>
              <w:spacing w:before="0" w:beforeAutospacing="0" w:after="20" w:afterAutospacing="0"/>
              <w:rPr>
                <w:rFonts w:ascii="Arial" w:hAnsi="Arial" w:cs="Arial"/>
              </w:rPr>
            </w:pPr>
            <w:r>
              <w:rPr>
                <w:rFonts w:ascii="Arial" w:hAnsi="Arial" w:cs="Arial"/>
              </w:rPr>
              <w:t> </w:t>
            </w:r>
          </w:p>
        </w:tc>
      </w:tr>
    </w:tbl>
    <w:p w14:paraId="23DA9FE4" w14:textId="19079852" w:rsidR="00D246A9" w:rsidRPr="001164D9" w:rsidRDefault="001164D9">
      <w:pPr>
        <w:rPr>
          <w:vanish/>
          <w:sz w:val="2"/>
          <w:szCs w:val="2"/>
        </w:rPr>
      </w:pPr>
      <w:r>
        <w:rPr>
          <w:sz w:val="2"/>
          <w:szCs w:val="2"/>
        </w:rPr>
        <w:t>x</w:t>
      </w:r>
    </w:p>
    <w:p w14:paraId="69B1E9AE" w14:textId="77777777" w:rsidR="00F749EE" w:rsidRDefault="00F749EE"/>
    <w:p w14:paraId="0536763B" w14:textId="77777777" w:rsidR="00D246A9" w:rsidRDefault="00D246A9">
      <w:pPr>
        <w:rPr>
          <w:vanish/>
        </w:rPr>
      </w:pPr>
    </w:p>
    <w:tbl>
      <w:tblPr>
        <w:tblW w:w="9630" w:type="dxa"/>
        <w:tblInd w:w="587" w:type="dxa"/>
        <w:tblLayout w:type="fixed"/>
        <w:tblCellMar>
          <w:left w:w="0" w:type="dxa"/>
          <w:right w:w="0" w:type="dxa"/>
        </w:tblCellMar>
        <w:tblLook w:val="0600" w:firstRow="0" w:lastRow="0" w:firstColumn="0" w:lastColumn="0" w:noHBand="1" w:noVBand="1"/>
      </w:tblPr>
      <w:tblGrid>
        <w:gridCol w:w="5310"/>
        <w:gridCol w:w="4320"/>
      </w:tblGrid>
      <w:tr w:rsidR="000D402A" w14:paraId="3E060B9A" w14:textId="77777777" w:rsidTr="000D402A">
        <w:trPr>
          <w:cantSplit/>
        </w:trPr>
        <w:tc>
          <w:tcPr>
            <w:tcW w:w="5310" w:type="dxa"/>
            <w:tcBorders>
              <w:bottom w:val="single" w:sz="6" w:space="0" w:color="999999"/>
            </w:tcBorders>
            <w:hideMark/>
          </w:tcPr>
          <w:p w14:paraId="7CF16962" w14:textId="606CAE42" w:rsidR="000D402A" w:rsidRPr="00306F7C" w:rsidRDefault="000D402A">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5464D7F3" w14:textId="77777777" w:rsidR="000D402A" w:rsidRDefault="000D402A">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The Gap, Inc. (2016-2020)</w:t>
            </w:r>
          </w:p>
          <w:p w14:paraId="3BBD6F27" w14:textId="77777777" w:rsidR="000D402A" w:rsidRDefault="000D402A">
            <w:pPr>
              <w:pStyle w:val="NormalWeb"/>
              <w:spacing w:before="0" w:beforeAutospacing="0" w:after="0" w:afterAutospacing="0"/>
              <w:rPr>
                <w:rFonts w:ascii="Arial" w:hAnsi="Arial" w:cs="Arial"/>
                <w:sz w:val="18"/>
                <w:szCs w:val="18"/>
              </w:rPr>
            </w:pPr>
            <w:r>
              <w:rPr>
                <w:rFonts w:ascii="Arial" w:hAnsi="Arial" w:cs="Arial"/>
                <w:color w:val="0075C9"/>
                <w:sz w:val="18"/>
                <w:szCs w:val="18"/>
              </w:rPr>
              <w:t>(clothing and accessories retailer)</w:t>
            </w:r>
          </w:p>
          <w:p w14:paraId="6D5DF7E4" w14:textId="77777777" w:rsidR="000D402A" w:rsidRDefault="000D402A">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Chief Financial Officer (2016-2020)</w:t>
            </w:r>
          </w:p>
          <w:p w14:paraId="48FBE608" w14:textId="77777777" w:rsidR="000D402A" w:rsidRDefault="000D402A">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Dick’s Sporting Goods, Inc. (2015-2016)</w:t>
            </w:r>
          </w:p>
          <w:p w14:paraId="02B492A8" w14:textId="77777777" w:rsidR="000D402A" w:rsidRDefault="000D402A">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Chief Financial Officer (2015-2016)</w:t>
            </w:r>
          </w:p>
          <w:p w14:paraId="646AF106" w14:textId="77777777" w:rsidR="000D402A" w:rsidRDefault="000D402A">
            <w:pPr>
              <w:pStyle w:val="NormalWeb"/>
              <w:spacing w:before="0" w:beforeAutospacing="0" w:after="0" w:afterAutospacing="0"/>
              <w:rPr>
                <w:rFonts w:ascii="Arial" w:hAnsi="Arial" w:cs="Arial"/>
                <w:sz w:val="18"/>
                <w:szCs w:val="18"/>
              </w:rPr>
            </w:pPr>
            <w:r>
              <w:rPr>
                <w:rFonts w:ascii="Arial" w:hAnsi="Arial" w:cs="Arial"/>
                <w:b/>
                <w:bCs/>
                <w:color w:val="0075C9"/>
                <w:sz w:val="18"/>
                <w:szCs w:val="18"/>
              </w:rPr>
              <w:t>Kraft Foods Group, Inc. (2013-2015)</w:t>
            </w:r>
          </w:p>
          <w:p w14:paraId="75AD63A5" w14:textId="77777777" w:rsidR="000D402A" w:rsidRDefault="000D402A">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Advisor (2015)</w:t>
            </w:r>
          </w:p>
          <w:p w14:paraId="17D4BA70" w14:textId="77777777" w:rsidR="000D402A" w:rsidRDefault="000D402A">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Chief Financial Officer (2013-2015)</w:t>
            </w:r>
          </w:p>
          <w:p w14:paraId="57011A27" w14:textId="77777777" w:rsidR="000D402A" w:rsidRDefault="000D402A">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(2013)</w:t>
            </w:r>
          </w:p>
          <w:p w14:paraId="60551E3C" w14:textId="77777777" w:rsidR="000D402A" w:rsidRDefault="000D402A">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The Procter &amp; Gamble Company (1994-2013)</w:t>
            </w:r>
          </w:p>
          <w:p w14:paraId="3C75DC5B" w14:textId="77777777" w:rsidR="000D402A" w:rsidRDefault="000D402A">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and Treasurer (2009-2013)</w:t>
            </w:r>
          </w:p>
          <w:p w14:paraId="109372DE" w14:textId="77777777" w:rsidR="000D402A" w:rsidRDefault="000D402A">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 (1994-2009)</w:t>
            </w:r>
          </w:p>
        </w:tc>
        <w:tc>
          <w:tcPr>
            <w:tcW w:w="4320" w:type="dxa"/>
            <w:tcBorders>
              <w:bottom w:val="single" w:sz="6" w:space="0" w:color="999999"/>
            </w:tcBorders>
            <w:hideMark/>
          </w:tcPr>
          <w:p w14:paraId="03AA6008" w14:textId="77777777" w:rsidR="000D402A" w:rsidRDefault="000D402A">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3A32BAEB" w14:textId="77777777" w:rsidR="000D402A" w:rsidRDefault="000D402A">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Audit</w:t>
            </w:r>
          </w:p>
          <w:p w14:paraId="4739A30F" w14:textId="77777777" w:rsidR="000D402A" w:rsidRDefault="000D402A">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Governance and Nominating</w:t>
            </w:r>
          </w:p>
          <w:p w14:paraId="0931608D" w14:textId="77777777" w:rsidR="000D402A" w:rsidRDefault="000D402A">
            <w:pPr>
              <w:pStyle w:val="NormalWeb"/>
              <w:spacing w:before="0" w:beforeAutospacing="0" w:after="0" w:afterAutospacing="0"/>
              <w:rPr>
                <w:rFonts w:ascii="Arial" w:hAnsi="Arial" w:cs="Arial"/>
                <w:sz w:val="20"/>
                <w:szCs w:val="20"/>
              </w:rPr>
            </w:pPr>
            <w:r>
              <w:rPr>
                <w:rFonts w:ascii="Arial" w:hAnsi="Arial" w:cs="Arial"/>
                <w:sz w:val="20"/>
                <w:szCs w:val="20"/>
              </w:rPr>
              <w:t> </w:t>
            </w:r>
          </w:p>
          <w:p w14:paraId="4651BC7E" w14:textId="77777777" w:rsidR="000D402A" w:rsidRDefault="000D402A">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48B8FB40" w14:textId="77777777" w:rsidR="000D402A" w:rsidRDefault="000D402A">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Danaher Corporation</w:t>
            </w:r>
          </w:p>
          <w:p w14:paraId="7B8B990B" w14:textId="77777777" w:rsidR="000D402A" w:rsidRDefault="000D402A">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DoubleVerify Holdings, Inc.</w:t>
            </w:r>
          </w:p>
          <w:p w14:paraId="357B302F" w14:textId="77777777" w:rsidR="000D402A" w:rsidRDefault="000D402A">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Visa Inc.</w:t>
            </w:r>
          </w:p>
          <w:p w14:paraId="51F45836" w14:textId="77777777" w:rsidR="000D402A" w:rsidRDefault="000D402A">
            <w:pPr>
              <w:pStyle w:val="NormalWeb"/>
              <w:spacing w:before="0" w:beforeAutospacing="0" w:after="0" w:afterAutospacing="0"/>
              <w:rPr>
                <w:rFonts w:ascii="Arial" w:hAnsi="Arial" w:cs="Arial"/>
                <w:sz w:val="20"/>
                <w:szCs w:val="20"/>
              </w:rPr>
            </w:pPr>
            <w:r>
              <w:rPr>
                <w:rFonts w:ascii="Arial" w:hAnsi="Arial" w:cs="Arial"/>
                <w:sz w:val="20"/>
                <w:szCs w:val="20"/>
              </w:rPr>
              <w:t> </w:t>
            </w:r>
          </w:p>
          <w:p w14:paraId="25E8E0FE" w14:textId="77777777" w:rsidR="000D402A" w:rsidRDefault="000D402A">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720C2DC9" w14:textId="77777777" w:rsidR="000D402A" w:rsidRDefault="000D402A">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58457D17" w14:textId="77777777" w:rsidR="000D402A" w:rsidRDefault="000D402A">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Oscar Health, Inc.</w:t>
            </w:r>
          </w:p>
          <w:p w14:paraId="7CDCCBF8" w14:textId="77777777" w:rsidR="000D402A" w:rsidRDefault="000D402A">
            <w:pPr>
              <w:pStyle w:val="NormalWeb"/>
              <w:spacing w:before="0" w:beforeAutospacing="0" w:after="0" w:afterAutospacing="0"/>
              <w:rPr>
                <w:rFonts w:ascii="Arial" w:hAnsi="Arial" w:cs="Arial"/>
                <w:sz w:val="20"/>
                <w:szCs w:val="20"/>
              </w:rPr>
            </w:pPr>
            <w:r>
              <w:rPr>
                <w:rFonts w:ascii="Arial" w:hAnsi="Arial" w:cs="Arial"/>
                <w:sz w:val="20"/>
                <w:szCs w:val="20"/>
              </w:rPr>
              <w:t> </w:t>
            </w:r>
          </w:p>
          <w:p w14:paraId="3D89E985" w14:textId="77777777" w:rsidR="000D402A" w:rsidRDefault="000D402A">
            <w:pPr>
              <w:pStyle w:val="NormalWeb"/>
              <w:keepNext/>
              <w:spacing w:before="0" w:beforeAutospacing="0" w:after="0" w:afterAutospacing="0"/>
              <w:rPr>
                <w:rFonts w:ascii="Arial" w:hAnsi="Arial" w:cs="Arial"/>
                <w:sz w:val="18"/>
                <w:szCs w:val="18"/>
              </w:rPr>
            </w:pPr>
            <w:r>
              <w:rPr>
                <w:rFonts w:ascii="Arial" w:hAnsi="Arial" w:cs="Arial"/>
                <w:b/>
                <w:bCs/>
                <w:sz w:val="18"/>
                <w:szCs w:val="18"/>
              </w:rPr>
              <w:t>Other Positions:</w:t>
            </w:r>
          </w:p>
          <w:p w14:paraId="6ED07A0A" w14:textId="77777777" w:rsidR="000D402A" w:rsidRDefault="000D402A">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Former Trustee, Financial Accounting Foundation</w:t>
            </w:r>
          </w:p>
          <w:p w14:paraId="4EE6D2F5" w14:textId="77777777" w:rsidR="000D402A" w:rsidRDefault="000D402A">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Former Practice Fellow, Financial Accounting Standards Board</w:t>
            </w:r>
          </w:p>
          <w:p w14:paraId="0837EEA1" w14:textId="77777777" w:rsidR="000D402A" w:rsidRDefault="000D402A">
            <w:pPr>
              <w:pStyle w:val="NormalWeb"/>
              <w:spacing w:before="0" w:beforeAutospacing="0" w:after="20" w:afterAutospacing="0"/>
              <w:rPr>
                <w:rFonts w:ascii="Arial" w:hAnsi="Arial" w:cs="Arial"/>
                <w:sz w:val="20"/>
                <w:szCs w:val="20"/>
              </w:rPr>
            </w:pPr>
            <w:r>
              <w:rPr>
                <w:rFonts w:ascii="Arial" w:hAnsi="Arial" w:cs="Arial"/>
                <w:sz w:val="20"/>
                <w:szCs w:val="20"/>
              </w:rPr>
              <w:t> </w:t>
            </w:r>
          </w:p>
        </w:tc>
      </w:tr>
    </w:tbl>
    <w:p w14:paraId="08F7F75A" w14:textId="77777777" w:rsidR="00D246A9" w:rsidRPr="00306F7C" w:rsidRDefault="00D246A9">
      <w:pPr>
        <w:pStyle w:val="NormalWeb"/>
        <w:keepNext/>
        <w:spacing w:before="0" w:beforeAutospacing="0" w:after="0" w:afterAutospacing="0"/>
      </w:pPr>
      <w:r>
        <w:t> </w:t>
      </w:r>
    </w:p>
    <w:tbl>
      <w:tblPr>
        <w:tblW w:w="10800" w:type="dxa"/>
        <w:tblLayout w:type="fixed"/>
        <w:tblCellMar>
          <w:left w:w="0" w:type="dxa"/>
          <w:right w:w="0" w:type="dxa"/>
        </w:tblCellMar>
        <w:tblLook w:val="0600" w:firstRow="0" w:lastRow="0" w:firstColumn="0" w:lastColumn="0" w:noHBand="1" w:noVBand="1"/>
      </w:tblPr>
      <w:tblGrid>
        <w:gridCol w:w="309"/>
        <w:gridCol w:w="1523"/>
        <w:gridCol w:w="5728"/>
        <w:gridCol w:w="3240"/>
      </w:tblGrid>
      <w:tr w:rsidR="00D246A9" w14:paraId="16B6A0E6" w14:textId="77777777" w:rsidTr="009E43ED">
        <w:tc>
          <w:tcPr>
            <w:tcW w:w="309" w:type="dxa"/>
            <w:vAlign w:val="center"/>
            <w:hideMark/>
          </w:tcPr>
          <w:p w14:paraId="2BD8FA75" w14:textId="77777777" w:rsidR="00D246A9" w:rsidRDefault="00D246A9"/>
        </w:tc>
        <w:tc>
          <w:tcPr>
            <w:tcW w:w="1523" w:type="dxa"/>
            <w:vAlign w:val="center"/>
            <w:hideMark/>
          </w:tcPr>
          <w:p w14:paraId="3E0D2E46" w14:textId="77777777" w:rsidR="00D246A9" w:rsidRDefault="00D246A9">
            <w:pPr>
              <w:rPr>
                <w:sz w:val="20"/>
              </w:rPr>
            </w:pPr>
          </w:p>
        </w:tc>
        <w:tc>
          <w:tcPr>
            <w:tcW w:w="5728" w:type="dxa"/>
            <w:vAlign w:val="center"/>
            <w:hideMark/>
          </w:tcPr>
          <w:p w14:paraId="1AB5101E" w14:textId="77777777" w:rsidR="00D246A9" w:rsidRDefault="00D246A9">
            <w:pPr>
              <w:rPr>
                <w:sz w:val="20"/>
              </w:rPr>
            </w:pPr>
          </w:p>
        </w:tc>
        <w:tc>
          <w:tcPr>
            <w:tcW w:w="3240" w:type="dxa"/>
            <w:vAlign w:val="center"/>
            <w:hideMark/>
          </w:tcPr>
          <w:p w14:paraId="2F381CD3" w14:textId="77777777" w:rsidR="00D246A9" w:rsidRDefault="00D246A9">
            <w:pPr>
              <w:rPr>
                <w:sz w:val="20"/>
              </w:rPr>
            </w:pPr>
          </w:p>
        </w:tc>
      </w:tr>
      <w:tr w:rsidR="002733AB" w14:paraId="2BFCA409" w14:textId="77777777" w:rsidTr="009E43ED">
        <w:trPr>
          <w:cantSplit/>
          <w:trHeight w:val="598"/>
        </w:trPr>
        <w:tc>
          <w:tcPr>
            <w:tcW w:w="1832" w:type="dxa"/>
            <w:gridSpan w:val="2"/>
            <w:vMerge w:val="restart"/>
            <w:tcMar>
              <w:top w:w="0" w:type="dxa"/>
              <w:left w:w="144" w:type="dxa"/>
              <w:bottom w:w="0" w:type="dxa"/>
              <w:right w:w="0" w:type="dxa"/>
            </w:tcMar>
            <w:hideMark/>
          </w:tcPr>
          <w:p w14:paraId="057ADF0E" w14:textId="24037665" w:rsidR="002733AB" w:rsidRDefault="009E43ED" w:rsidP="002733AB">
            <w:pPr>
              <w:rPr>
                <w:rFonts w:ascii="Arial" w:hAnsi="Arial" w:cs="Arial"/>
                <w:sz w:val="52"/>
                <w:szCs w:val="52"/>
              </w:rPr>
            </w:pPr>
            <w:r>
              <w:rPr>
                <w:rFonts w:ascii="Arial" w:hAnsi="Arial" w:cs="Arial"/>
                <w:noProof/>
                <w:sz w:val="52"/>
                <w:szCs w:val="52"/>
              </w:rPr>
              <w:drawing>
                <wp:inline distT="0" distB="0" distL="0" distR="0" wp14:anchorId="33E1BEE2" wp14:editId="284ED1F0">
                  <wp:extent cx="914400" cy="924238"/>
                  <wp:effectExtent l="0" t="0" r="0" b="9525"/>
                  <wp:docPr id="2036788226"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88226" name="Picture 25">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914400" cy="924238"/>
                          </a:xfrm>
                          <a:prstGeom prst="rect">
                            <a:avLst/>
                          </a:prstGeom>
                        </pic:spPr>
                      </pic:pic>
                    </a:graphicData>
                  </a:graphic>
                </wp:inline>
              </w:drawing>
            </w:r>
          </w:p>
        </w:tc>
        <w:tc>
          <w:tcPr>
            <w:tcW w:w="8968" w:type="dxa"/>
            <w:gridSpan w:val="2"/>
            <w:vAlign w:val="bottom"/>
            <w:hideMark/>
          </w:tcPr>
          <w:p w14:paraId="0839C9BA" w14:textId="62E76CF9" w:rsidR="002733AB" w:rsidRPr="00306F7C" w:rsidRDefault="002733AB" w:rsidP="002733AB">
            <w:pPr>
              <w:rPr>
                <w:rFonts w:ascii="Arial" w:hAnsi="Arial" w:cs="Arial"/>
                <w:sz w:val="52"/>
                <w:szCs w:val="52"/>
              </w:rPr>
            </w:pPr>
            <w:r>
              <w:rPr>
                <w:rFonts w:ascii="Arial" w:hAnsi="Arial" w:cs="Arial"/>
                <w:color w:val="595959"/>
                <w:sz w:val="52"/>
                <w:szCs w:val="52"/>
              </w:rPr>
              <w:t>Catherine MacGregor</w:t>
            </w:r>
          </w:p>
        </w:tc>
      </w:tr>
      <w:tr w:rsidR="002733AB" w14:paraId="0C9FE631" w14:textId="77777777" w:rsidTr="009E43ED">
        <w:trPr>
          <w:cantSplit/>
        </w:trPr>
        <w:tc>
          <w:tcPr>
            <w:tcW w:w="1832" w:type="dxa"/>
            <w:gridSpan w:val="2"/>
            <w:vMerge/>
            <w:tcMar>
              <w:top w:w="0" w:type="dxa"/>
              <w:left w:w="144" w:type="dxa"/>
              <w:bottom w:w="0" w:type="dxa"/>
              <w:right w:w="0" w:type="dxa"/>
            </w:tcMar>
            <w:hideMark/>
          </w:tcPr>
          <w:p w14:paraId="32A9B7D9" w14:textId="77777777" w:rsidR="002733AB" w:rsidRDefault="002733AB">
            <w:pPr>
              <w:rPr>
                <w:rFonts w:ascii="Arial" w:hAnsi="Arial" w:cs="Arial"/>
                <w:sz w:val="52"/>
                <w:szCs w:val="52"/>
              </w:rPr>
            </w:pPr>
          </w:p>
        </w:tc>
        <w:tc>
          <w:tcPr>
            <w:tcW w:w="8968" w:type="dxa"/>
            <w:gridSpan w:val="2"/>
            <w:vAlign w:val="bottom"/>
            <w:hideMark/>
          </w:tcPr>
          <w:p w14:paraId="33FEDDB8" w14:textId="77777777" w:rsidR="002733AB" w:rsidRDefault="002733AB">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51 | </w:t>
            </w:r>
            <w:r>
              <w:rPr>
                <w:rFonts w:ascii="Arial" w:hAnsi="Arial" w:cs="Arial"/>
                <w:b/>
                <w:bCs/>
                <w:sz w:val="20"/>
                <w:szCs w:val="20"/>
              </w:rPr>
              <w:t>Director Since:</w:t>
            </w:r>
            <w:r>
              <w:rPr>
                <w:rFonts w:ascii="Arial" w:hAnsi="Arial" w:cs="Arial"/>
                <w:sz w:val="20"/>
                <w:szCs w:val="20"/>
              </w:rPr>
              <w:t xml:space="preserve"> New Nominee | </w:t>
            </w:r>
            <w:r>
              <w:rPr>
                <w:rFonts w:ascii="Arial" w:hAnsi="Arial" w:cs="Arial"/>
                <w:b/>
                <w:bCs/>
                <w:sz w:val="20"/>
                <w:szCs w:val="20"/>
              </w:rPr>
              <w:t>Birthplace:</w:t>
            </w:r>
            <w:r>
              <w:rPr>
                <w:rFonts w:ascii="Arial" w:hAnsi="Arial" w:cs="Arial"/>
                <w:sz w:val="20"/>
                <w:szCs w:val="20"/>
              </w:rPr>
              <w:t xml:space="preserve"> Morocco | </w:t>
            </w:r>
            <w:r>
              <w:rPr>
                <w:rFonts w:ascii="Arial" w:hAnsi="Arial" w:cs="Arial"/>
                <w:color w:val="0075C9"/>
                <w:sz w:val="20"/>
                <w:szCs w:val="20"/>
              </w:rPr>
              <w:t>Independent</w:t>
            </w:r>
          </w:p>
          <w:p w14:paraId="538CA62C" w14:textId="77777777" w:rsidR="002733AB" w:rsidRDefault="002733AB">
            <w:pPr>
              <w:pStyle w:val="NormalWeb"/>
              <w:spacing w:before="0" w:beforeAutospacing="0" w:after="0" w:afterAutospacing="0"/>
              <w:rPr>
                <w:rFonts w:ascii="Arial" w:hAnsi="Arial" w:cs="Arial"/>
                <w:sz w:val="12"/>
                <w:szCs w:val="12"/>
              </w:rPr>
            </w:pPr>
            <w:r>
              <w:rPr>
                <w:rFonts w:ascii="Arial" w:hAnsi="Arial" w:cs="Arial"/>
                <w:sz w:val="12"/>
                <w:szCs w:val="12"/>
              </w:rPr>
              <w:t> </w:t>
            </w:r>
          </w:p>
          <w:p w14:paraId="55CFC704" w14:textId="77777777" w:rsidR="002733AB" w:rsidRDefault="002733AB">
            <w:pPr>
              <w:pStyle w:val="NormalWeb"/>
              <w:spacing w:before="0" w:beforeAutospacing="0" w:after="0" w:afterAutospacing="0"/>
              <w:rPr>
                <w:rFonts w:ascii="Arial" w:hAnsi="Arial" w:cs="Arial"/>
                <w:sz w:val="12"/>
                <w:szCs w:val="12"/>
              </w:rPr>
            </w:pPr>
            <w:r>
              <w:rPr>
                <w:rFonts w:ascii="Arial" w:hAnsi="Arial" w:cs="Arial"/>
                <w:sz w:val="12"/>
                <w:szCs w:val="12"/>
              </w:rPr>
              <w:t> </w:t>
            </w:r>
          </w:p>
          <w:p w14:paraId="1F12C6E9" w14:textId="3610EF84" w:rsidR="002733AB" w:rsidRDefault="002733AB">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42C17BE9" wp14:editId="634C6864">
                  <wp:extent cx="1816068" cy="274320"/>
                  <wp:effectExtent l="0" t="0" r="0" b="0"/>
                  <wp:docPr id="1782141364" name="Picture 23" descr="Ms. MacGregor is experienced in global business, leadership, mergers and acquisitions, and sales and marketing. She also represents diversity on our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41364" name="Picture 23" descr="Ms. MacGregor is experienced in global business, leadership, mergers and acquisitions, and sales and marketing. She also represents diversity on our Board.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16068" cy="274320"/>
                          </a:xfrm>
                          <a:prstGeom prst="rect">
                            <a:avLst/>
                          </a:prstGeom>
                        </pic:spPr>
                      </pic:pic>
                    </a:graphicData>
                  </a:graphic>
                </wp:inline>
              </w:drawing>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p>
          <w:p w14:paraId="2E65A60C" w14:textId="77777777" w:rsidR="002733AB" w:rsidRDefault="002733AB">
            <w:pPr>
              <w:pStyle w:val="NormalWeb"/>
              <w:spacing w:before="0" w:beforeAutospacing="0" w:after="20" w:afterAutospacing="0"/>
              <w:rPr>
                <w:rFonts w:ascii="Arial" w:hAnsi="Arial" w:cs="Arial"/>
              </w:rPr>
            </w:pPr>
            <w:r>
              <w:rPr>
                <w:rFonts w:ascii="Arial" w:hAnsi="Arial" w:cs="Arial"/>
              </w:rPr>
              <w:t> </w:t>
            </w:r>
          </w:p>
        </w:tc>
      </w:tr>
    </w:tbl>
    <w:tbl>
      <w:tblPr>
        <w:tblpPr w:leftFromText="180" w:rightFromText="180" w:vertAnchor="text" w:horzAnchor="margin" w:tblpXSpec="center" w:tblpY="12"/>
        <w:tblW w:w="9557" w:type="dxa"/>
        <w:tblLayout w:type="fixed"/>
        <w:tblCellMar>
          <w:left w:w="0" w:type="dxa"/>
          <w:right w:w="0" w:type="dxa"/>
        </w:tblCellMar>
        <w:tblLook w:val="0600" w:firstRow="0" w:lastRow="0" w:firstColumn="0" w:lastColumn="0" w:noHBand="1" w:noVBand="1"/>
      </w:tblPr>
      <w:tblGrid>
        <w:gridCol w:w="5237"/>
        <w:gridCol w:w="4320"/>
      </w:tblGrid>
      <w:tr w:rsidR="009E43ED" w14:paraId="007D592E" w14:textId="77777777" w:rsidTr="009E43ED">
        <w:trPr>
          <w:cantSplit/>
        </w:trPr>
        <w:tc>
          <w:tcPr>
            <w:tcW w:w="5237" w:type="dxa"/>
            <w:tcBorders>
              <w:bottom w:val="single" w:sz="6" w:space="0" w:color="999999"/>
            </w:tcBorders>
            <w:hideMark/>
          </w:tcPr>
          <w:p w14:paraId="5B9C756D" w14:textId="77777777" w:rsidR="009E43ED" w:rsidRPr="00306F7C" w:rsidRDefault="009E43ED" w:rsidP="009E43ED">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1C51B409" w14:textId="77777777" w:rsidR="009E43ED" w:rsidRDefault="009E43ED" w:rsidP="009E43ED">
            <w:pPr>
              <w:pStyle w:val="NormalWeb"/>
              <w:spacing w:before="0" w:beforeAutospacing="0" w:after="0" w:afterAutospacing="0"/>
              <w:rPr>
                <w:rFonts w:ascii="Arial" w:hAnsi="Arial" w:cs="Arial"/>
                <w:sz w:val="18"/>
                <w:szCs w:val="18"/>
              </w:rPr>
            </w:pPr>
            <w:r>
              <w:rPr>
                <w:rFonts w:ascii="Arial" w:hAnsi="Arial" w:cs="Arial"/>
                <w:b/>
                <w:bCs/>
                <w:color w:val="0075C9"/>
                <w:sz w:val="18"/>
                <w:szCs w:val="18"/>
              </w:rPr>
              <w:t>Engie S.A. (2021-present)</w:t>
            </w:r>
          </w:p>
          <w:p w14:paraId="05748428" w14:textId="77777777" w:rsidR="009E43ED" w:rsidRDefault="009E43ED" w:rsidP="009E43ED">
            <w:pPr>
              <w:pStyle w:val="NormalWeb"/>
              <w:spacing w:before="0" w:beforeAutospacing="0" w:after="0" w:afterAutospacing="0"/>
              <w:rPr>
                <w:rFonts w:ascii="Arial" w:hAnsi="Arial" w:cs="Arial"/>
                <w:sz w:val="18"/>
                <w:szCs w:val="18"/>
              </w:rPr>
            </w:pPr>
            <w:r>
              <w:rPr>
                <w:rFonts w:ascii="Arial" w:hAnsi="Arial" w:cs="Arial"/>
                <w:color w:val="0075C9"/>
                <w:sz w:val="18"/>
                <w:szCs w:val="18"/>
              </w:rPr>
              <w:t>(energy company)</w:t>
            </w:r>
          </w:p>
          <w:p w14:paraId="61FE9F90"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Group Chief Executive Officer and Director (2021-present)</w:t>
            </w:r>
          </w:p>
          <w:p w14:paraId="003C3786" w14:textId="77777777" w:rsidR="009E43ED" w:rsidRDefault="009E43ED" w:rsidP="009E43ED">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TechnipFMC plc (2019-2020)</w:t>
            </w:r>
          </w:p>
          <w:p w14:paraId="212ACBD9"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Technip Energies (2019-2020)</w:t>
            </w:r>
          </w:p>
          <w:p w14:paraId="01DB1835" w14:textId="77777777" w:rsidR="009E43ED" w:rsidRDefault="009E43ED" w:rsidP="009E43ED">
            <w:pPr>
              <w:pStyle w:val="NormalWeb"/>
              <w:spacing w:before="0" w:beforeAutospacing="0" w:after="0" w:afterAutospacing="0"/>
              <w:rPr>
                <w:rFonts w:ascii="Arial" w:hAnsi="Arial" w:cs="Arial"/>
                <w:sz w:val="18"/>
                <w:szCs w:val="18"/>
              </w:rPr>
            </w:pPr>
            <w:r>
              <w:rPr>
                <w:rFonts w:ascii="Arial" w:hAnsi="Arial" w:cs="Arial"/>
                <w:b/>
                <w:bCs/>
                <w:color w:val="0075C9"/>
                <w:sz w:val="18"/>
                <w:szCs w:val="18"/>
              </w:rPr>
              <w:t>Schlumberger N.V. (1995-2018)</w:t>
            </w:r>
          </w:p>
          <w:p w14:paraId="4D3C58FC"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Drilling Group (London) (2017)</w:t>
            </w:r>
          </w:p>
          <w:p w14:paraId="1F2E8A14"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Reservoir Characterization Group (France) (2016)</w:t>
            </w:r>
          </w:p>
          <w:p w14:paraId="5773D32B"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Europe &amp; Africa, La Defense (France) (2013)</w:t>
            </w:r>
          </w:p>
          <w:p w14:paraId="1178F16A"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Wireline, Schlumberger Wireline (France) (2009)</w:t>
            </w:r>
          </w:p>
          <w:p w14:paraId="67D22C59"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Group Human Resource Director (France) (2007)</w:t>
            </w:r>
          </w:p>
          <w:p w14:paraId="04FC3F0F"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 xml:space="preserve">Various positions of increasing authority (Congo, UK, </w:t>
            </w:r>
            <w:r>
              <w:rPr>
                <w:rFonts w:ascii="Arial" w:hAnsi="Arial" w:cs="Arial"/>
                <w:sz w:val="18"/>
                <w:szCs w:val="18"/>
              </w:rPr>
              <w:br/>
              <w:t>Malaysia, US, and France) (1995-2007)</w:t>
            </w:r>
          </w:p>
          <w:p w14:paraId="5C0BC511" w14:textId="77777777" w:rsidR="009E43ED" w:rsidRDefault="009E43ED" w:rsidP="009E43ED">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4A93F3DE" w14:textId="77777777" w:rsidR="009E43ED" w:rsidRDefault="009E43ED" w:rsidP="009E43ED">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28FF6B8F"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Appointment will be made after election</w:t>
            </w:r>
          </w:p>
          <w:p w14:paraId="69CE139B" w14:textId="77777777" w:rsidR="009E43ED" w:rsidRDefault="009E43ED" w:rsidP="009E43ED">
            <w:pPr>
              <w:pStyle w:val="NormalWeb"/>
              <w:spacing w:before="0" w:beforeAutospacing="0" w:after="0" w:afterAutospacing="0"/>
              <w:rPr>
                <w:rFonts w:ascii="Arial" w:hAnsi="Arial" w:cs="Arial"/>
                <w:sz w:val="20"/>
                <w:szCs w:val="20"/>
              </w:rPr>
            </w:pPr>
            <w:r>
              <w:rPr>
                <w:rFonts w:ascii="Arial" w:hAnsi="Arial" w:cs="Arial"/>
                <w:sz w:val="20"/>
                <w:szCs w:val="20"/>
              </w:rPr>
              <w:t> </w:t>
            </w:r>
          </w:p>
          <w:p w14:paraId="21D3062A" w14:textId="77777777" w:rsidR="009E43ED" w:rsidRDefault="009E43ED" w:rsidP="009E43ED">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37A03F77"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Engie S.A.</w:t>
            </w:r>
          </w:p>
          <w:p w14:paraId="19AF99A4" w14:textId="77777777" w:rsidR="009E43ED" w:rsidRDefault="009E43ED" w:rsidP="009E43ED">
            <w:pPr>
              <w:pStyle w:val="NormalWeb"/>
              <w:spacing w:before="0" w:beforeAutospacing="0" w:after="0" w:afterAutospacing="0"/>
              <w:rPr>
                <w:rFonts w:ascii="Arial" w:hAnsi="Arial" w:cs="Arial"/>
                <w:sz w:val="20"/>
                <w:szCs w:val="20"/>
              </w:rPr>
            </w:pPr>
            <w:r>
              <w:rPr>
                <w:rFonts w:ascii="Arial" w:hAnsi="Arial" w:cs="Arial"/>
                <w:sz w:val="20"/>
                <w:szCs w:val="20"/>
              </w:rPr>
              <w:t> </w:t>
            </w:r>
          </w:p>
          <w:p w14:paraId="00A5E127" w14:textId="77777777" w:rsidR="009E43ED" w:rsidRDefault="009E43ED" w:rsidP="009E43ED">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76BB4DF6" w14:textId="77777777" w:rsidR="009E43ED" w:rsidRDefault="009E43ED" w:rsidP="009E43ED">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0AAACA70"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5524D146" w14:textId="77777777" w:rsidR="009E43ED" w:rsidRDefault="009E43ED" w:rsidP="009E43ED">
            <w:pPr>
              <w:pStyle w:val="NormalWeb"/>
              <w:spacing w:before="0" w:beforeAutospacing="0" w:after="20" w:afterAutospacing="0"/>
              <w:rPr>
                <w:rFonts w:ascii="Arial" w:hAnsi="Arial" w:cs="Arial"/>
                <w:sz w:val="12"/>
                <w:szCs w:val="12"/>
              </w:rPr>
            </w:pPr>
            <w:r>
              <w:rPr>
                <w:rFonts w:ascii="Arial" w:hAnsi="Arial" w:cs="Arial"/>
                <w:sz w:val="12"/>
                <w:szCs w:val="12"/>
              </w:rPr>
              <w:t> </w:t>
            </w:r>
          </w:p>
        </w:tc>
      </w:tr>
    </w:tbl>
    <w:p w14:paraId="1EB6E01B" w14:textId="77777777" w:rsidR="009E43ED" w:rsidRDefault="009E43ED"/>
    <w:p w14:paraId="1096C117" w14:textId="77777777" w:rsidR="00D246A9" w:rsidRPr="00306F7C" w:rsidRDefault="00D246A9">
      <w:pPr>
        <w:pStyle w:val="NormalWeb"/>
        <w:keepNext/>
        <w:spacing w:before="0" w:beforeAutospacing="0" w:after="0" w:afterAutospacing="0"/>
        <w:rPr>
          <w:sz w:val="48"/>
          <w:szCs w:val="48"/>
        </w:rPr>
      </w:pPr>
      <w:r>
        <w:rPr>
          <w:sz w:val="48"/>
          <w:szCs w:val="48"/>
        </w:rPr>
        <w:t> </w:t>
      </w:r>
    </w:p>
    <w:p w14:paraId="027A3F8A" w14:textId="77777777" w:rsidR="00D246A9" w:rsidRDefault="00D246A9" w:rsidP="00F749EE">
      <w:pPr>
        <w:pStyle w:val="NormalWeb"/>
        <w:pageBreakBefore/>
        <w:spacing w:before="180" w:beforeAutospacing="0" w:after="0" w:afterAutospacing="0"/>
        <w:rPr>
          <w:sz w:val="2"/>
          <w:szCs w:val="2"/>
        </w:rPr>
      </w:pPr>
      <w:r>
        <w:rPr>
          <w:sz w:val="2"/>
          <w:szCs w:val="2"/>
        </w:rPr>
        <w:lastRenderedPageBreak/>
        <w:t> </w:t>
      </w:r>
    </w:p>
    <w:tbl>
      <w:tblPr>
        <w:tblW w:w="10800" w:type="dxa"/>
        <w:tblLayout w:type="fixed"/>
        <w:tblCellMar>
          <w:left w:w="0" w:type="dxa"/>
          <w:right w:w="0" w:type="dxa"/>
        </w:tblCellMar>
        <w:tblLook w:val="0600" w:firstRow="0" w:lastRow="0" w:firstColumn="0" w:lastColumn="0" w:noHBand="1" w:noVBand="1"/>
      </w:tblPr>
      <w:tblGrid>
        <w:gridCol w:w="306"/>
        <w:gridCol w:w="1506"/>
        <w:gridCol w:w="4668"/>
        <w:gridCol w:w="4320"/>
      </w:tblGrid>
      <w:tr w:rsidR="00D246A9" w14:paraId="4043BCBF" w14:textId="77777777" w:rsidTr="009E43ED">
        <w:tc>
          <w:tcPr>
            <w:tcW w:w="306" w:type="dxa"/>
            <w:vAlign w:val="center"/>
            <w:hideMark/>
          </w:tcPr>
          <w:p w14:paraId="26E43CBE" w14:textId="77777777" w:rsidR="00D246A9" w:rsidRDefault="00D246A9">
            <w:pPr>
              <w:rPr>
                <w:sz w:val="2"/>
                <w:szCs w:val="2"/>
              </w:rPr>
            </w:pPr>
          </w:p>
        </w:tc>
        <w:tc>
          <w:tcPr>
            <w:tcW w:w="1506" w:type="dxa"/>
            <w:vAlign w:val="center"/>
            <w:hideMark/>
          </w:tcPr>
          <w:p w14:paraId="1CFB13EE" w14:textId="77777777" w:rsidR="00D246A9" w:rsidRDefault="00D246A9">
            <w:pPr>
              <w:rPr>
                <w:sz w:val="20"/>
              </w:rPr>
            </w:pPr>
          </w:p>
        </w:tc>
        <w:tc>
          <w:tcPr>
            <w:tcW w:w="4668" w:type="dxa"/>
            <w:vAlign w:val="center"/>
            <w:hideMark/>
          </w:tcPr>
          <w:p w14:paraId="67383FD7" w14:textId="77777777" w:rsidR="00D246A9" w:rsidRDefault="00D246A9">
            <w:pPr>
              <w:rPr>
                <w:sz w:val="20"/>
              </w:rPr>
            </w:pPr>
          </w:p>
        </w:tc>
        <w:tc>
          <w:tcPr>
            <w:tcW w:w="4320" w:type="dxa"/>
            <w:vAlign w:val="center"/>
            <w:hideMark/>
          </w:tcPr>
          <w:p w14:paraId="73F605A7" w14:textId="77777777" w:rsidR="00D246A9" w:rsidRDefault="00D246A9">
            <w:pPr>
              <w:rPr>
                <w:sz w:val="20"/>
              </w:rPr>
            </w:pPr>
          </w:p>
        </w:tc>
      </w:tr>
      <w:tr w:rsidR="009E43ED" w14:paraId="30BD45FD" w14:textId="77777777" w:rsidTr="009E43ED">
        <w:trPr>
          <w:cantSplit/>
          <w:trHeight w:val="598"/>
        </w:trPr>
        <w:tc>
          <w:tcPr>
            <w:tcW w:w="1812" w:type="dxa"/>
            <w:gridSpan w:val="2"/>
            <w:vMerge w:val="restart"/>
            <w:tcMar>
              <w:top w:w="0" w:type="dxa"/>
              <w:left w:w="144" w:type="dxa"/>
              <w:bottom w:w="0" w:type="dxa"/>
              <w:right w:w="0" w:type="dxa"/>
            </w:tcMar>
            <w:hideMark/>
          </w:tcPr>
          <w:p w14:paraId="5C4AD16A" w14:textId="0153F78B" w:rsidR="009E43ED" w:rsidRDefault="009E43ED" w:rsidP="009E43ED">
            <w:pPr>
              <w:jc w:val="center"/>
              <w:rPr>
                <w:rFonts w:ascii="Arial" w:hAnsi="Arial" w:cs="Arial"/>
                <w:sz w:val="52"/>
                <w:szCs w:val="52"/>
              </w:rPr>
            </w:pPr>
            <w:r>
              <w:rPr>
                <w:rFonts w:ascii="Arial" w:hAnsi="Arial" w:cs="Arial"/>
                <w:noProof/>
                <w:sz w:val="52"/>
                <w:szCs w:val="52"/>
              </w:rPr>
              <w:drawing>
                <wp:inline distT="0" distB="0" distL="0" distR="0" wp14:anchorId="0D4C5183" wp14:editId="2C77CF26">
                  <wp:extent cx="914400" cy="924238"/>
                  <wp:effectExtent l="0" t="0" r="0" b="9525"/>
                  <wp:docPr id="144588358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83587" name="Picture 24">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914400" cy="924238"/>
                          </a:xfrm>
                          <a:prstGeom prst="rect">
                            <a:avLst/>
                          </a:prstGeom>
                        </pic:spPr>
                      </pic:pic>
                    </a:graphicData>
                  </a:graphic>
                </wp:inline>
              </w:drawing>
            </w:r>
          </w:p>
        </w:tc>
        <w:tc>
          <w:tcPr>
            <w:tcW w:w="8988" w:type="dxa"/>
            <w:gridSpan w:val="2"/>
            <w:vAlign w:val="bottom"/>
            <w:hideMark/>
          </w:tcPr>
          <w:p w14:paraId="5ACE2062" w14:textId="2E5832D2" w:rsidR="009E43ED" w:rsidRPr="00306F7C" w:rsidRDefault="009E43ED" w:rsidP="009E43ED">
            <w:pPr>
              <w:rPr>
                <w:rFonts w:ascii="Arial" w:hAnsi="Arial" w:cs="Arial"/>
                <w:sz w:val="52"/>
                <w:szCs w:val="52"/>
              </w:rPr>
            </w:pPr>
            <w:r>
              <w:rPr>
                <w:rFonts w:ascii="Arial" w:hAnsi="Arial" w:cs="Arial"/>
                <w:color w:val="595959"/>
                <w:sz w:val="52"/>
                <w:szCs w:val="52"/>
              </w:rPr>
              <w:t>Mark A. L. Mason</w:t>
            </w:r>
          </w:p>
        </w:tc>
      </w:tr>
      <w:tr w:rsidR="009E43ED" w14:paraId="4AE732E8" w14:textId="77777777" w:rsidTr="009E43ED">
        <w:trPr>
          <w:cantSplit/>
        </w:trPr>
        <w:tc>
          <w:tcPr>
            <w:tcW w:w="1812" w:type="dxa"/>
            <w:gridSpan w:val="2"/>
            <w:vMerge/>
            <w:tcMar>
              <w:top w:w="0" w:type="dxa"/>
              <w:left w:w="144" w:type="dxa"/>
              <w:bottom w:w="0" w:type="dxa"/>
              <w:right w:w="0" w:type="dxa"/>
            </w:tcMar>
            <w:hideMark/>
          </w:tcPr>
          <w:p w14:paraId="176E818C" w14:textId="77777777" w:rsidR="009E43ED" w:rsidRDefault="009E43ED">
            <w:pPr>
              <w:rPr>
                <w:rFonts w:ascii="Arial" w:hAnsi="Arial" w:cs="Arial"/>
                <w:sz w:val="52"/>
                <w:szCs w:val="52"/>
              </w:rPr>
            </w:pPr>
          </w:p>
        </w:tc>
        <w:tc>
          <w:tcPr>
            <w:tcW w:w="8988" w:type="dxa"/>
            <w:gridSpan w:val="2"/>
            <w:vAlign w:val="bottom"/>
            <w:hideMark/>
          </w:tcPr>
          <w:p w14:paraId="056C83B2" w14:textId="77777777" w:rsidR="009E43ED" w:rsidRDefault="009E43ED">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54 | </w:t>
            </w:r>
            <w:r>
              <w:rPr>
                <w:rFonts w:ascii="Arial" w:hAnsi="Arial" w:cs="Arial"/>
                <w:b/>
                <w:bCs/>
                <w:sz w:val="20"/>
                <w:szCs w:val="20"/>
              </w:rPr>
              <w:t>Director Since:</w:t>
            </w:r>
            <w:r>
              <w:rPr>
                <w:rFonts w:ascii="Arial" w:hAnsi="Arial" w:cs="Arial"/>
                <w:sz w:val="20"/>
                <w:szCs w:val="20"/>
              </w:rPr>
              <w:t xml:space="preserve"> New Nominee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2F05011B" w14:textId="77777777" w:rsidR="009E43ED" w:rsidRDefault="009E43ED">
            <w:pPr>
              <w:pStyle w:val="NormalWeb"/>
              <w:spacing w:before="0" w:beforeAutospacing="0" w:after="0" w:afterAutospacing="0"/>
              <w:rPr>
                <w:rFonts w:ascii="Arial" w:hAnsi="Arial" w:cs="Arial"/>
                <w:sz w:val="12"/>
                <w:szCs w:val="12"/>
              </w:rPr>
            </w:pPr>
            <w:r>
              <w:rPr>
                <w:rFonts w:ascii="Arial" w:hAnsi="Arial" w:cs="Arial"/>
                <w:sz w:val="12"/>
                <w:szCs w:val="12"/>
              </w:rPr>
              <w:t> </w:t>
            </w:r>
          </w:p>
          <w:p w14:paraId="6E08408C" w14:textId="77777777" w:rsidR="009E43ED" w:rsidRDefault="009E43ED">
            <w:pPr>
              <w:pStyle w:val="NormalWeb"/>
              <w:spacing w:before="0" w:beforeAutospacing="0" w:after="0" w:afterAutospacing="0"/>
              <w:rPr>
                <w:rFonts w:ascii="Arial" w:hAnsi="Arial" w:cs="Arial"/>
                <w:sz w:val="12"/>
                <w:szCs w:val="12"/>
              </w:rPr>
            </w:pPr>
            <w:r>
              <w:rPr>
                <w:rFonts w:ascii="Arial" w:hAnsi="Arial" w:cs="Arial"/>
                <w:sz w:val="12"/>
                <w:szCs w:val="12"/>
              </w:rPr>
              <w:t> </w:t>
            </w:r>
          </w:p>
          <w:p w14:paraId="4DA12F99" w14:textId="2A94B09C" w:rsidR="009E43ED" w:rsidRDefault="009E43ED">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2BE43612" wp14:editId="076AD52F">
                  <wp:extent cx="1891740" cy="274320"/>
                  <wp:effectExtent l="0" t="0" r="0" b="0"/>
                  <wp:docPr id="1664549825" name="Picture 26" descr="Mr. Mason is experienced in finance, global business, leadership, and mergers and acquisitions. He also represents diversity on our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49825" name="Picture 26" descr="Mr. Mason is experienced in finance, global business, leadership, and mergers and acquisitions. He also represents diversity on our Board.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1740" cy="274320"/>
                          </a:xfrm>
                          <a:prstGeom prst="rect">
                            <a:avLst/>
                          </a:prstGeom>
                        </pic:spPr>
                      </pic:pic>
                    </a:graphicData>
                  </a:graphic>
                </wp:inline>
              </w:drawing>
            </w:r>
            <w:r>
              <w:rPr>
                <w:rFonts w:ascii="Arial" w:hAnsi="Arial" w:cs="Arial"/>
                <w:sz w:val="14"/>
                <w:szCs w:val="14"/>
              </w:rPr>
              <w:t> </w:t>
            </w:r>
            <w:r>
              <w:rPr>
                <w:rFonts w:ascii="Arial" w:hAnsi="Arial" w:cs="Arial"/>
                <w:sz w:val="14"/>
                <w:szCs w:val="14"/>
              </w:rPr>
              <w:t xml:space="preserve"> </w:t>
            </w:r>
          </w:p>
          <w:p w14:paraId="3BABDA6C" w14:textId="77777777" w:rsidR="009E43ED" w:rsidRDefault="009E43ED">
            <w:pPr>
              <w:pStyle w:val="NormalWeb"/>
              <w:spacing w:before="0" w:beforeAutospacing="0" w:after="20" w:afterAutospacing="0"/>
              <w:rPr>
                <w:rFonts w:ascii="Arial" w:hAnsi="Arial" w:cs="Arial"/>
              </w:rPr>
            </w:pPr>
            <w:r>
              <w:rPr>
                <w:rFonts w:ascii="Arial" w:hAnsi="Arial" w:cs="Arial"/>
              </w:rPr>
              <w:t> </w:t>
            </w:r>
          </w:p>
        </w:tc>
      </w:tr>
    </w:tbl>
    <w:tbl>
      <w:tblPr>
        <w:tblpPr w:leftFromText="180" w:rightFromText="180" w:vertAnchor="text" w:horzAnchor="margin" w:tblpXSpec="center" w:tblpY="10"/>
        <w:tblW w:w="9935" w:type="dxa"/>
        <w:tblLayout w:type="fixed"/>
        <w:tblCellMar>
          <w:left w:w="0" w:type="dxa"/>
          <w:right w:w="0" w:type="dxa"/>
        </w:tblCellMar>
        <w:tblLook w:val="0600" w:firstRow="0" w:lastRow="0" w:firstColumn="0" w:lastColumn="0" w:noHBand="1" w:noVBand="1"/>
      </w:tblPr>
      <w:tblGrid>
        <w:gridCol w:w="5615"/>
        <w:gridCol w:w="4320"/>
      </w:tblGrid>
      <w:tr w:rsidR="009E43ED" w14:paraId="3FF09857" w14:textId="77777777" w:rsidTr="009E43ED">
        <w:trPr>
          <w:cantSplit/>
        </w:trPr>
        <w:tc>
          <w:tcPr>
            <w:tcW w:w="5615" w:type="dxa"/>
            <w:tcBorders>
              <w:bottom w:val="single" w:sz="6" w:space="0" w:color="999999"/>
            </w:tcBorders>
            <w:hideMark/>
          </w:tcPr>
          <w:p w14:paraId="386BFC68" w14:textId="77777777" w:rsidR="009E43ED" w:rsidRPr="00306F7C" w:rsidRDefault="009E43ED" w:rsidP="009E43ED">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21BEFA80" w14:textId="77777777" w:rsidR="009E43ED" w:rsidRDefault="009E43ED" w:rsidP="009E43ED">
            <w:pPr>
              <w:pStyle w:val="NormalWeb"/>
              <w:spacing w:before="0" w:beforeAutospacing="0" w:after="0" w:afterAutospacing="0"/>
              <w:rPr>
                <w:rFonts w:ascii="Arial" w:hAnsi="Arial" w:cs="Arial"/>
                <w:sz w:val="18"/>
                <w:szCs w:val="18"/>
              </w:rPr>
            </w:pPr>
            <w:r>
              <w:rPr>
                <w:rFonts w:ascii="Arial" w:hAnsi="Arial" w:cs="Arial"/>
                <w:b/>
                <w:bCs/>
                <w:color w:val="0075C9"/>
                <w:sz w:val="18"/>
                <w:szCs w:val="18"/>
              </w:rPr>
              <w:t>Citigroup Inc. (2001-present)</w:t>
            </w:r>
          </w:p>
          <w:p w14:paraId="369CB660" w14:textId="77777777" w:rsidR="009E43ED" w:rsidRDefault="009E43ED" w:rsidP="009E43ED">
            <w:pPr>
              <w:pStyle w:val="NormalWeb"/>
              <w:spacing w:before="0" w:beforeAutospacing="0" w:after="0" w:afterAutospacing="0"/>
              <w:rPr>
                <w:rFonts w:ascii="Arial" w:hAnsi="Arial" w:cs="Arial"/>
                <w:sz w:val="18"/>
                <w:szCs w:val="18"/>
              </w:rPr>
            </w:pPr>
            <w:r>
              <w:rPr>
                <w:rFonts w:ascii="Arial" w:hAnsi="Arial" w:cs="Arial"/>
                <w:color w:val="0075C9"/>
                <w:sz w:val="18"/>
                <w:szCs w:val="18"/>
              </w:rPr>
              <w:t>(banking and financial services company)</w:t>
            </w:r>
          </w:p>
          <w:p w14:paraId="350D4B5B"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Financial Officer (2019-present)</w:t>
            </w:r>
          </w:p>
          <w:p w14:paraId="5A10AAAA"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Financial Officer, Institutional Clients Group (2014)</w:t>
            </w:r>
          </w:p>
          <w:p w14:paraId="4C7015F9"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Citi Private Bank (2013)</w:t>
            </w:r>
          </w:p>
          <w:p w14:paraId="0307BF9C"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Citi Holdings (2012)</w:t>
            </w:r>
          </w:p>
          <w:p w14:paraId="5B4E8874"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Operating Officer, Citi Holdings (2009)</w:t>
            </w:r>
          </w:p>
          <w:p w14:paraId="6ED5C09A"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Financial Officer and Head of Strategy and M&amp;A, Global Wealth Management (2006)</w:t>
            </w:r>
          </w:p>
          <w:p w14:paraId="194ACB75"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 (2001-2006)</w:t>
            </w:r>
          </w:p>
          <w:p w14:paraId="656C168D" w14:textId="77777777" w:rsidR="009E43ED" w:rsidRDefault="009E43ED" w:rsidP="009E43ED">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7EAA1143" w14:textId="77777777" w:rsidR="009E43ED" w:rsidRDefault="009E43ED" w:rsidP="009E43ED">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5D6522B6"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Appointment will be made after election</w:t>
            </w:r>
          </w:p>
          <w:p w14:paraId="0BF18533" w14:textId="77777777" w:rsidR="009E43ED" w:rsidRDefault="009E43ED" w:rsidP="009E43ED">
            <w:pPr>
              <w:pStyle w:val="NormalWeb"/>
              <w:spacing w:before="0" w:beforeAutospacing="0" w:after="0" w:afterAutospacing="0"/>
              <w:rPr>
                <w:rFonts w:ascii="Arial" w:hAnsi="Arial" w:cs="Arial"/>
                <w:sz w:val="20"/>
                <w:szCs w:val="20"/>
              </w:rPr>
            </w:pPr>
            <w:r>
              <w:rPr>
                <w:rFonts w:ascii="Arial" w:hAnsi="Arial" w:cs="Arial"/>
                <w:sz w:val="20"/>
                <w:szCs w:val="20"/>
              </w:rPr>
              <w:t> </w:t>
            </w:r>
          </w:p>
          <w:p w14:paraId="4B8FAA47" w14:textId="77777777" w:rsidR="009E43ED" w:rsidRDefault="009E43ED" w:rsidP="009E43ED">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61843AD6" w14:textId="77777777" w:rsidR="009E43ED" w:rsidRDefault="009E43ED" w:rsidP="009E43ED">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28D203CD" w14:textId="77777777" w:rsidR="009E43ED" w:rsidRDefault="009E43ED" w:rsidP="009E43ED">
            <w:pPr>
              <w:pStyle w:val="NormalWeb"/>
              <w:spacing w:before="0" w:beforeAutospacing="0" w:after="0" w:afterAutospacing="0"/>
              <w:rPr>
                <w:rFonts w:ascii="Arial" w:hAnsi="Arial" w:cs="Arial"/>
                <w:sz w:val="20"/>
                <w:szCs w:val="20"/>
              </w:rPr>
            </w:pPr>
            <w:r>
              <w:rPr>
                <w:rFonts w:ascii="Arial" w:hAnsi="Arial" w:cs="Arial"/>
                <w:sz w:val="20"/>
                <w:szCs w:val="20"/>
              </w:rPr>
              <w:t> </w:t>
            </w:r>
          </w:p>
          <w:p w14:paraId="1BE8A412" w14:textId="0C111BF9" w:rsidR="009E43ED" w:rsidRDefault="009E43ED" w:rsidP="009E43ED">
            <w:pPr>
              <w:pStyle w:val="NormalWeb"/>
              <w:keepNext/>
              <w:spacing w:before="0" w:beforeAutospacing="0" w:after="0" w:afterAutospacing="0"/>
              <w:rPr>
                <w:rFonts w:ascii="Arial" w:hAnsi="Arial" w:cs="Arial"/>
                <w:sz w:val="18"/>
                <w:szCs w:val="18"/>
              </w:rPr>
            </w:pPr>
            <w:r>
              <w:rPr>
                <w:rFonts w:ascii="Arial" w:hAnsi="Arial" w:cs="Arial"/>
                <w:b/>
                <w:bCs/>
                <w:sz w:val="18"/>
                <w:szCs w:val="18"/>
              </w:rPr>
              <w:t xml:space="preserve">Former Public Company Directorships </w:t>
            </w:r>
            <w:r>
              <w:rPr>
                <w:rFonts w:ascii="Arial" w:hAnsi="Arial" w:cs="Arial"/>
                <w:b/>
                <w:bCs/>
                <w:sz w:val="18"/>
                <w:szCs w:val="18"/>
              </w:rPr>
              <w:br/>
              <w:t>Held in the Past Five Years:</w:t>
            </w:r>
          </w:p>
          <w:p w14:paraId="46EAFCC9" w14:textId="77777777" w:rsidR="009E43ED" w:rsidRDefault="009E43ED" w:rsidP="009E43ED">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Primerica, Inc.</w:t>
            </w:r>
          </w:p>
        </w:tc>
      </w:tr>
    </w:tbl>
    <w:p w14:paraId="63D2D8A8" w14:textId="77777777" w:rsidR="009E43ED" w:rsidRDefault="009E43ED"/>
    <w:p w14:paraId="45704EE7" w14:textId="77777777" w:rsidR="00D246A9" w:rsidRDefault="00D246A9">
      <w:pPr>
        <w:pStyle w:val="NormalWeb"/>
        <w:keepNext/>
        <w:spacing w:before="0" w:beforeAutospacing="0" w:after="0" w:afterAutospacing="0"/>
      </w:pPr>
      <w:r>
        <w:t> </w:t>
      </w:r>
    </w:p>
    <w:p w14:paraId="5132487F" w14:textId="77777777" w:rsidR="009E43ED" w:rsidRPr="00306F7C" w:rsidRDefault="009E43ED">
      <w:pPr>
        <w:pStyle w:val="NormalWeb"/>
        <w:keepNext/>
        <w:spacing w:before="0" w:beforeAutospacing="0" w:after="0" w:afterAutospacing="0"/>
      </w:pPr>
    </w:p>
    <w:tbl>
      <w:tblPr>
        <w:tblW w:w="10800" w:type="dxa"/>
        <w:tblLayout w:type="fixed"/>
        <w:tblCellMar>
          <w:left w:w="0" w:type="dxa"/>
          <w:right w:w="0" w:type="dxa"/>
        </w:tblCellMar>
        <w:tblLook w:val="0600" w:firstRow="0" w:lastRow="0" w:firstColumn="0" w:lastColumn="0" w:noHBand="1" w:noVBand="1"/>
      </w:tblPr>
      <w:tblGrid>
        <w:gridCol w:w="306"/>
        <w:gridCol w:w="1512"/>
        <w:gridCol w:w="3798"/>
        <w:gridCol w:w="5184"/>
      </w:tblGrid>
      <w:tr w:rsidR="00D246A9" w14:paraId="65243735" w14:textId="77777777" w:rsidTr="00E62AAB">
        <w:tc>
          <w:tcPr>
            <w:tcW w:w="306" w:type="dxa"/>
            <w:vAlign w:val="center"/>
            <w:hideMark/>
          </w:tcPr>
          <w:p w14:paraId="008FD6E7" w14:textId="77777777" w:rsidR="00D246A9" w:rsidRDefault="00D246A9"/>
        </w:tc>
        <w:tc>
          <w:tcPr>
            <w:tcW w:w="1512" w:type="dxa"/>
            <w:vAlign w:val="center"/>
            <w:hideMark/>
          </w:tcPr>
          <w:p w14:paraId="29340D5F" w14:textId="77777777" w:rsidR="00D246A9" w:rsidRDefault="00D246A9">
            <w:pPr>
              <w:rPr>
                <w:sz w:val="20"/>
              </w:rPr>
            </w:pPr>
          </w:p>
        </w:tc>
        <w:tc>
          <w:tcPr>
            <w:tcW w:w="3798" w:type="dxa"/>
            <w:vAlign w:val="center"/>
            <w:hideMark/>
          </w:tcPr>
          <w:p w14:paraId="4CF1CADB" w14:textId="77777777" w:rsidR="00D246A9" w:rsidRDefault="00D246A9">
            <w:pPr>
              <w:rPr>
                <w:sz w:val="20"/>
              </w:rPr>
            </w:pPr>
          </w:p>
        </w:tc>
        <w:tc>
          <w:tcPr>
            <w:tcW w:w="5184" w:type="dxa"/>
            <w:vAlign w:val="center"/>
            <w:hideMark/>
          </w:tcPr>
          <w:p w14:paraId="730014A0" w14:textId="77777777" w:rsidR="00D246A9" w:rsidRDefault="00D246A9">
            <w:pPr>
              <w:rPr>
                <w:sz w:val="20"/>
              </w:rPr>
            </w:pPr>
          </w:p>
        </w:tc>
      </w:tr>
      <w:tr w:rsidR="00E62AAB" w14:paraId="70D484A8" w14:textId="77777777" w:rsidTr="00E62AAB">
        <w:trPr>
          <w:cantSplit/>
          <w:trHeight w:val="598"/>
        </w:trPr>
        <w:tc>
          <w:tcPr>
            <w:tcW w:w="1818" w:type="dxa"/>
            <w:gridSpan w:val="2"/>
            <w:vMerge w:val="restart"/>
            <w:tcMar>
              <w:top w:w="0" w:type="dxa"/>
              <w:left w:w="144" w:type="dxa"/>
              <w:bottom w:w="0" w:type="dxa"/>
              <w:right w:w="0" w:type="dxa"/>
            </w:tcMar>
            <w:hideMark/>
          </w:tcPr>
          <w:p w14:paraId="39D83537" w14:textId="69176801" w:rsidR="00E62AAB" w:rsidRDefault="00E62AAB" w:rsidP="00E62AAB">
            <w:pPr>
              <w:jc w:val="center"/>
              <w:rPr>
                <w:rFonts w:ascii="Arial" w:hAnsi="Arial" w:cs="Arial"/>
                <w:sz w:val="52"/>
                <w:szCs w:val="52"/>
              </w:rPr>
            </w:pPr>
            <w:r>
              <w:rPr>
                <w:rFonts w:ascii="Arial" w:hAnsi="Arial" w:cs="Arial"/>
                <w:noProof/>
                <w:sz w:val="52"/>
                <w:szCs w:val="52"/>
              </w:rPr>
              <w:drawing>
                <wp:inline distT="0" distB="0" distL="0" distR="0" wp14:anchorId="41FDCD99" wp14:editId="1EF807F4">
                  <wp:extent cx="914400" cy="914400"/>
                  <wp:effectExtent l="0" t="0" r="0" b="0"/>
                  <wp:docPr id="1857582813"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82813" name="Picture 2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8982" w:type="dxa"/>
            <w:gridSpan w:val="2"/>
            <w:vAlign w:val="bottom"/>
            <w:hideMark/>
          </w:tcPr>
          <w:p w14:paraId="26CF1139" w14:textId="191F6236" w:rsidR="00E62AAB" w:rsidRPr="00306F7C" w:rsidRDefault="00E62AAB" w:rsidP="00E62AAB">
            <w:pPr>
              <w:rPr>
                <w:rFonts w:ascii="Arial" w:hAnsi="Arial" w:cs="Arial"/>
                <w:sz w:val="52"/>
                <w:szCs w:val="52"/>
              </w:rPr>
            </w:pPr>
            <w:r>
              <w:rPr>
                <w:rFonts w:ascii="Arial" w:hAnsi="Arial" w:cs="Arial"/>
                <w:color w:val="595959"/>
                <w:sz w:val="52"/>
                <w:szCs w:val="52"/>
              </w:rPr>
              <w:t>Satya Nadella</w:t>
            </w:r>
          </w:p>
        </w:tc>
      </w:tr>
      <w:tr w:rsidR="00E62AAB" w14:paraId="6DA132E9" w14:textId="77777777" w:rsidTr="00E62AAB">
        <w:trPr>
          <w:cantSplit/>
        </w:trPr>
        <w:tc>
          <w:tcPr>
            <w:tcW w:w="1818" w:type="dxa"/>
            <w:gridSpan w:val="2"/>
            <w:vMerge/>
            <w:tcMar>
              <w:top w:w="0" w:type="dxa"/>
              <w:left w:w="144" w:type="dxa"/>
              <w:bottom w:w="0" w:type="dxa"/>
              <w:right w:w="0" w:type="dxa"/>
            </w:tcMar>
            <w:hideMark/>
          </w:tcPr>
          <w:p w14:paraId="76D512D1" w14:textId="77777777" w:rsidR="00E62AAB" w:rsidRDefault="00E62AAB">
            <w:pPr>
              <w:rPr>
                <w:rFonts w:ascii="Arial" w:hAnsi="Arial" w:cs="Arial"/>
                <w:sz w:val="52"/>
                <w:szCs w:val="52"/>
              </w:rPr>
            </w:pPr>
          </w:p>
        </w:tc>
        <w:tc>
          <w:tcPr>
            <w:tcW w:w="8982" w:type="dxa"/>
            <w:gridSpan w:val="2"/>
            <w:vAlign w:val="bottom"/>
            <w:hideMark/>
          </w:tcPr>
          <w:p w14:paraId="673FD8D4" w14:textId="77777777" w:rsidR="00E62AAB" w:rsidRDefault="00E62AAB">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56 | </w:t>
            </w:r>
            <w:r>
              <w:rPr>
                <w:rFonts w:ascii="Arial" w:hAnsi="Arial" w:cs="Arial"/>
                <w:b/>
                <w:bCs/>
                <w:sz w:val="20"/>
                <w:szCs w:val="20"/>
              </w:rPr>
              <w:t>Director Since:</w:t>
            </w:r>
            <w:r>
              <w:rPr>
                <w:rFonts w:ascii="Arial" w:hAnsi="Arial" w:cs="Arial"/>
                <w:sz w:val="20"/>
                <w:szCs w:val="20"/>
              </w:rPr>
              <w:t xml:space="preserve"> 2014 | </w:t>
            </w:r>
            <w:r>
              <w:rPr>
                <w:rFonts w:ascii="Arial" w:hAnsi="Arial" w:cs="Arial"/>
                <w:b/>
                <w:bCs/>
                <w:sz w:val="20"/>
                <w:szCs w:val="20"/>
              </w:rPr>
              <w:t>Birthplace:</w:t>
            </w:r>
            <w:r>
              <w:rPr>
                <w:rFonts w:ascii="Arial" w:hAnsi="Arial" w:cs="Arial"/>
                <w:sz w:val="20"/>
                <w:szCs w:val="20"/>
              </w:rPr>
              <w:t xml:space="preserve"> India</w:t>
            </w:r>
          </w:p>
          <w:p w14:paraId="176E356E" w14:textId="77777777" w:rsidR="00E62AAB" w:rsidRDefault="00E62AAB">
            <w:pPr>
              <w:pStyle w:val="NormalWeb"/>
              <w:spacing w:before="0" w:beforeAutospacing="0" w:after="0" w:afterAutospacing="0"/>
              <w:rPr>
                <w:rFonts w:ascii="Arial" w:hAnsi="Arial" w:cs="Arial"/>
                <w:sz w:val="12"/>
                <w:szCs w:val="12"/>
              </w:rPr>
            </w:pPr>
            <w:r>
              <w:rPr>
                <w:rFonts w:ascii="Arial" w:hAnsi="Arial" w:cs="Arial"/>
                <w:sz w:val="12"/>
                <w:szCs w:val="12"/>
              </w:rPr>
              <w:t> </w:t>
            </w:r>
          </w:p>
          <w:p w14:paraId="7A046C76" w14:textId="77777777" w:rsidR="00E62AAB" w:rsidRDefault="00E62AAB">
            <w:pPr>
              <w:pStyle w:val="NormalWeb"/>
              <w:spacing w:before="0" w:beforeAutospacing="0" w:after="0" w:afterAutospacing="0"/>
              <w:rPr>
                <w:rFonts w:ascii="Arial" w:hAnsi="Arial" w:cs="Arial"/>
                <w:sz w:val="12"/>
                <w:szCs w:val="12"/>
              </w:rPr>
            </w:pPr>
            <w:r>
              <w:rPr>
                <w:rFonts w:ascii="Arial" w:hAnsi="Arial" w:cs="Arial"/>
                <w:sz w:val="12"/>
                <w:szCs w:val="12"/>
              </w:rPr>
              <w:t> </w:t>
            </w:r>
          </w:p>
          <w:p w14:paraId="16C1F137" w14:textId="4072876B" w:rsidR="00E62AAB" w:rsidRDefault="00E62AAB">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04C1FD00" wp14:editId="06823910">
                  <wp:extent cx="2100548" cy="274320"/>
                  <wp:effectExtent l="0" t="0" r="0" b="0"/>
                  <wp:docPr id="1801015856" name="Picture 27" descr="Mr. Nadella is experienced in global business, leadership, mergers and acquisitions, sales and marketing, and technology. He also represents diversity on our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15856" name="Picture 27" descr="Mr. Nadella is experienced in global business, leadership, mergers and acquisitions, sales and marketing, and technology. He also represents diversity on our board.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00548" cy="274320"/>
                          </a:xfrm>
                          <a:prstGeom prst="rect">
                            <a:avLst/>
                          </a:prstGeom>
                        </pic:spPr>
                      </pic:pic>
                    </a:graphicData>
                  </a:graphic>
                </wp:inline>
              </w:drawing>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p>
          <w:p w14:paraId="294F98AF" w14:textId="77777777" w:rsidR="00E62AAB" w:rsidRDefault="00E62AAB">
            <w:pPr>
              <w:pStyle w:val="NormalWeb"/>
              <w:spacing w:before="0" w:beforeAutospacing="0" w:after="20" w:afterAutospacing="0"/>
              <w:rPr>
                <w:rFonts w:ascii="Arial" w:hAnsi="Arial" w:cs="Arial"/>
              </w:rPr>
            </w:pPr>
            <w:r>
              <w:rPr>
                <w:rFonts w:ascii="Arial" w:hAnsi="Arial" w:cs="Arial"/>
              </w:rPr>
              <w:t> </w:t>
            </w:r>
          </w:p>
        </w:tc>
      </w:tr>
    </w:tbl>
    <w:tbl>
      <w:tblPr>
        <w:tblpPr w:leftFromText="180" w:rightFromText="180" w:vertAnchor="text" w:horzAnchor="margin" w:tblpXSpec="center" w:tblpY="26"/>
        <w:tblW w:w="9658" w:type="dxa"/>
        <w:tblLayout w:type="fixed"/>
        <w:tblCellMar>
          <w:left w:w="0" w:type="dxa"/>
          <w:right w:w="0" w:type="dxa"/>
        </w:tblCellMar>
        <w:tblLook w:val="0600" w:firstRow="0" w:lastRow="0" w:firstColumn="0" w:lastColumn="0" w:noHBand="1" w:noVBand="1"/>
      </w:tblPr>
      <w:tblGrid>
        <w:gridCol w:w="5338"/>
        <w:gridCol w:w="4320"/>
      </w:tblGrid>
      <w:tr w:rsidR="00E62AAB" w14:paraId="2091B994" w14:textId="77777777" w:rsidTr="00E62AAB">
        <w:trPr>
          <w:cantSplit/>
        </w:trPr>
        <w:tc>
          <w:tcPr>
            <w:tcW w:w="5338" w:type="dxa"/>
            <w:tcBorders>
              <w:bottom w:val="single" w:sz="6" w:space="0" w:color="999999"/>
            </w:tcBorders>
            <w:hideMark/>
          </w:tcPr>
          <w:p w14:paraId="646E664E" w14:textId="77777777" w:rsidR="00E62AAB" w:rsidRPr="00306F7C" w:rsidRDefault="00E62AAB" w:rsidP="00E62AAB">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7A579C98" w14:textId="77777777" w:rsidR="00E62AAB" w:rsidRDefault="00E62AAB" w:rsidP="00E62AAB">
            <w:pPr>
              <w:pStyle w:val="NormalWeb"/>
              <w:spacing w:before="0" w:beforeAutospacing="0" w:after="0" w:afterAutospacing="0"/>
              <w:rPr>
                <w:rFonts w:ascii="Arial" w:hAnsi="Arial" w:cs="Arial"/>
                <w:sz w:val="18"/>
                <w:szCs w:val="18"/>
              </w:rPr>
            </w:pPr>
            <w:r>
              <w:rPr>
                <w:rFonts w:ascii="Arial" w:hAnsi="Arial" w:cs="Arial"/>
                <w:b/>
                <w:bCs/>
                <w:color w:val="0075C9"/>
                <w:sz w:val="18"/>
                <w:szCs w:val="18"/>
              </w:rPr>
              <w:t>Microsoft Corporation (1992-present)</w:t>
            </w:r>
          </w:p>
          <w:p w14:paraId="0E1F6065" w14:textId="77777777" w:rsidR="00E62AAB" w:rsidRDefault="00E62AAB" w:rsidP="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Chairman and Chief Executive Officer (2021-present)</w:t>
            </w:r>
          </w:p>
          <w:p w14:paraId="64C1A8D4" w14:textId="77777777" w:rsidR="00E62AAB" w:rsidRDefault="00E62AAB" w:rsidP="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Director (2014-2021)</w:t>
            </w:r>
          </w:p>
          <w:p w14:paraId="7476B84F" w14:textId="77777777" w:rsidR="00E62AAB" w:rsidRDefault="00E62AAB" w:rsidP="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Cloud and Enterprise (2013-2014)</w:t>
            </w:r>
          </w:p>
          <w:p w14:paraId="0989B31A" w14:textId="77777777" w:rsidR="00E62AAB" w:rsidRDefault="00E62AAB" w:rsidP="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Server and Tools (2011-2013)</w:t>
            </w:r>
          </w:p>
          <w:p w14:paraId="02A89E6D" w14:textId="77777777" w:rsidR="00E62AAB" w:rsidRDefault="00E62AAB" w:rsidP="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Online Services Division (2009-2011)</w:t>
            </w:r>
          </w:p>
          <w:p w14:paraId="19D274FF" w14:textId="77777777" w:rsidR="00E62AAB" w:rsidRDefault="00E62AAB" w:rsidP="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Search, Portal, and Advertising (2008-2009)</w:t>
            </w:r>
          </w:p>
          <w:p w14:paraId="39DF135C" w14:textId="77777777" w:rsidR="00E62AAB" w:rsidRDefault="00E62AAB" w:rsidP="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 (1992-2008)</w:t>
            </w:r>
          </w:p>
          <w:p w14:paraId="3DF68E28" w14:textId="77777777" w:rsidR="00E62AAB" w:rsidRDefault="00E62AAB" w:rsidP="00E62AAB">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36B8774A" w14:textId="77777777" w:rsidR="00E62AAB" w:rsidRDefault="00E62AAB" w:rsidP="00E62AAB">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5DC514CB" w14:textId="77777777" w:rsidR="00E62AAB" w:rsidRDefault="00E62AAB" w:rsidP="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6CBB9173" w14:textId="77777777" w:rsidR="00E62AAB" w:rsidRDefault="00E62AAB" w:rsidP="00E62AAB">
            <w:pPr>
              <w:pStyle w:val="NormalWeb"/>
              <w:spacing w:before="0" w:beforeAutospacing="0" w:after="0" w:afterAutospacing="0"/>
              <w:rPr>
                <w:rFonts w:ascii="Arial" w:hAnsi="Arial" w:cs="Arial"/>
                <w:sz w:val="20"/>
                <w:szCs w:val="20"/>
              </w:rPr>
            </w:pPr>
            <w:r>
              <w:rPr>
                <w:rFonts w:ascii="Arial" w:hAnsi="Arial" w:cs="Arial"/>
                <w:sz w:val="20"/>
                <w:szCs w:val="20"/>
              </w:rPr>
              <w:t> </w:t>
            </w:r>
          </w:p>
          <w:p w14:paraId="72C7E395" w14:textId="77777777" w:rsidR="00E62AAB" w:rsidRDefault="00E62AAB" w:rsidP="00E62AAB">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7972C03D" w14:textId="77777777" w:rsidR="00E62AAB" w:rsidRDefault="00E62AAB" w:rsidP="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Starbucks Corporation</w:t>
            </w:r>
          </w:p>
          <w:p w14:paraId="4245E0C4" w14:textId="77777777" w:rsidR="00E62AAB" w:rsidRDefault="00E62AAB" w:rsidP="00E62AAB">
            <w:pPr>
              <w:pStyle w:val="NormalWeb"/>
              <w:spacing w:before="0" w:beforeAutospacing="0" w:after="0" w:afterAutospacing="0"/>
              <w:rPr>
                <w:rFonts w:ascii="Arial" w:hAnsi="Arial" w:cs="Arial"/>
                <w:sz w:val="20"/>
                <w:szCs w:val="20"/>
              </w:rPr>
            </w:pPr>
            <w:r>
              <w:rPr>
                <w:rFonts w:ascii="Arial" w:hAnsi="Arial" w:cs="Arial"/>
                <w:sz w:val="20"/>
                <w:szCs w:val="20"/>
              </w:rPr>
              <w:t> </w:t>
            </w:r>
          </w:p>
          <w:p w14:paraId="0DCC9BBE" w14:textId="77777777" w:rsidR="00E62AAB" w:rsidRDefault="00E62AAB" w:rsidP="00E62AAB">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w:t>
            </w:r>
            <w:r>
              <w:rPr>
                <w:rFonts w:ascii="Arial" w:hAnsi="Arial" w:cs="Arial"/>
                <w:b/>
                <w:bCs/>
                <w:sz w:val="18"/>
                <w:szCs w:val="18"/>
              </w:rPr>
              <w:br/>
              <w:t>Held in the Past Five Years:</w:t>
            </w:r>
          </w:p>
          <w:p w14:paraId="7D7F8802" w14:textId="77777777" w:rsidR="00E62AAB" w:rsidRDefault="00E62AAB" w:rsidP="00E62AA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tc>
      </w:tr>
    </w:tbl>
    <w:p w14:paraId="0E259ECE" w14:textId="77777777" w:rsidR="00E62AAB" w:rsidRDefault="00E62AAB"/>
    <w:p w14:paraId="3EC8A188" w14:textId="28B618E6" w:rsidR="00D246A9" w:rsidRPr="00E62AAB" w:rsidRDefault="00D246A9">
      <w:pPr>
        <w:pStyle w:val="NormalWeb"/>
        <w:keepNext/>
        <w:spacing w:before="0" w:beforeAutospacing="0" w:after="0" w:afterAutospacing="0"/>
        <w:rPr>
          <w:sz w:val="2"/>
          <w:szCs w:val="2"/>
        </w:rPr>
      </w:pPr>
    </w:p>
    <w:p w14:paraId="15D311D0" w14:textId="3A06F4B5" w:rsidR="00D246A9" w:rsidRPr="00306F7C" w:rsidRDefault="003C471E">
      <w:pPr>
        <w:pStyle w:val="NormalWeb"/>
        <w:spacing w:before="270" w:beforeAutospacing="0" w:after="0" w:afterAutospacing="0"/>
        <w:rPr>
          <w:sz w:val="2"/>
          <w:szCs w:val="2"/>
        </w:rPr>
      </w:pPr>
      <w:r>
        <w:rPr>
          <w:noProof/>
          <w:sz w:val="2"/>
          <w:szCs w:val="2"/>
        </w:rPr>
        <w:drawing>
          <wp:anchor distT="0" distB="0" distL="114300" distR="114300" simplePos="0" relativeHeight="251676671" behindDoc="0" locked="0" layoutInCell="1" allowOverlap="1" wp14:anchorId="75CCB95A" wp14:editId="22BF5BED">
            <wp:simplePos x="0" y="0"/>
            <wp:positionH relativeFrom="column">
              <wp:posOffset>0</wp:posOffset>
            </wp:positionH>
            <wp:positionV relativeFrom="paragraph">
              <wp:posOffset>4288790</wp:posOffset>
            </wp:positionV>
            <wp:extent cx="6851650" cy="368300"/>
            <wp:effectExtent l="0" t="0" r="6350" b="0"/>
            <wp:wrapNone/>
            <wp:docPr id="108973605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36055" name="Picture 35">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165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6A9">
        <w:rPr>
          <w:sz w:val="2"/>
          <w:szCs w:val="2"/>
        </w:rPr>
        <w:t> </w:t>
      </w:r>
    </w:p>
    <w:p w14:paraId="5D5F11BB" w14:textId="77777777" w:rsidR="00D246A9" w:rsidRDefault="00D246A9" w:rsidP="00F749EE">
      <w:pPr>
        <w:pStyle w:val="NormalWeb"/>
        <w:keepNext/>
        <w:pageBreakBefore/>
        <w:spacing w:before="0" w:beforeAutospacing="0" w:after="0" w:afterAutospacing="0"/>
        <w:rPr>
          <w:sz w:val="36"/>
          <w:szCs w:val="36"/>
        </w:rPr>
      </w:pPr>
      <w:r>
        <w:rPr>
          <w:sz w:val="36"/>
          <w:szCs w:val="36"/>
        </w:rPr>
        <w:lastRenderedPageBreak/>
        <w:t> </w:t>
      </w:r>
    </w:p>
    <w:tbl>
      <w:tblPr>
        <w:tblW w:w="0" w:type="auto"/>
        <w:tblLayout w:type="fixed"/>
        <w:tblCellMar>
          <w:left w:w="0" w:type="dxa"/>
          <w:right w:w="0" w:type="dxa"/>
        </w:tblCellMar>
        <w:tblLook w:val="0600" w:firstRow="0" w:lastRow="0" w:firstColumn="0" w:lastColumn="0" w:noHBand="1" w:noVBand="1"/>
      </w:tblPr>
      <w:tblGrid>
        <w:gridCol w:w="306"/>
        <w:gridCol w:w="1512"/>
        <w:gridCol w:w="4986"/>
        <w:gridCol w:w="3996"/>
      </w:tblGrid>
      <w:tr w:rsidR="00D246A9" w14:paraId="52594F27" w14:textId="77777777" w:rsidTr="00E62AAB">
        <w:tc>
          <w:tcPr>
            <w:tcW w:w="306" w:type="dxa"/>
            <w:vAlign w:val="center"/>
            <w:hideMark/>
          </w:tcPr>
          <w:p w14:paraId="2338237A" w14:textId="77777777" w:rsidR="00D246A9" w:rsidRDefault="00D246A9">
            <w:pPr>
              <w:rPr>
                <w:sz w:val="36"/>
                <w:szCs w:val="36"/>
              </w:rPr>
            </w:pPr>
          </w:p>
        </w:tc>
        <w:tc>
          <w:tcPr>
            <w:tcW w:w="1512" w:type="dxa"/>
            <w:vAlign w:val="center"/>
            <w:hideMark/>
          </w:tcPr>
          <w:p w14:paraId="3BB5D26B" w14:textId="77777777" w:rsidR="00D246A9" w:rsidRDefault="00D246A9">
            <w:pPr>
              <w:rPr>
                <w:sz w:val="20"/>
              </w:rPr>
            </w:pPr>
          </w:p>
        </w:tc>
        <w:tc>
          <w:tcPr>
            <w:tcW w:w="4986" w:type="dxa"/>
            <w:vAlign w:val="center"/>
            <w:hideMark/>
          </w:tcPr>
          <w:p w14:paraId="49561735" w14:textId="77777777" w:rsidR="00D246A9" w:rsidRDefault="00D246A9">
            <w:pPr>
              <w:rPr>
                <w:sz w:val="20"/>
              </w:rPr>
            </w:pPr>
          </w:p>
        </w:tc>
        <w:tc>
          <w:tcPr>
            <w:tcW w:w="3996" w:type="dxa"/>
            <w:vAlign w:val="center"/>
            <w:hideMark/>
          </w:tcPr>
          <w:p w14:paraId="06C518E9" w14:textId="77777777" w:rsidR="00D246A9" w:rsidRDefault="00D246A9">
            <w:pPr>
              <w:rPr>
                <w:sz w:val="20"/>
              </w:rPr>
            </w:pPr>
          </w:p>
        </w:tc>
      </w:tr>
      <w:tr w:rsidR="00E62AAB" w14:paraId="503B258E" w14:textId="77777777" w:rsidTr="00477238">
        <w:trPr>
          <w:cantSplit/>
          <w:trHeight w:val="598"/>
        </w:trPr>
        <w:tc>
          <w:tcPr>
            <w:tcW w:w="1818" w:type="dxa"/>
            <w:gridSpan w:val="2"/>
            <w:vMerge w:val="restart"/>
            <w:tcMar>
              <w:top w:w="0" w:type="dxa"/>
              <w:left w:w="144" w:type="dxa"/>
              <w:bottom w:w="0" w:type="dxa"/>
              <w:right w:w="0" w:type="dxa"/>
            </w:tcMar>
            <w:hideMark/>
          </w:tcPr>
          <w:p w14:paraId="3F1A9662" w14:textId="74DDF0C6" w:rsidR="00E62AAB" w:rsidRDefault="00E62AAB" w:rsidP="00E62AAB">
            <w:pPr>
              <w:jc w:val="center"/>
              <w:rPr>
                <w:rFonts w:ascii="Arial" w:hAnsi="Arial" w:cs="Arial"/>
                <w:sz w:val="52"/>
                <w:szCs w:val="52"/>
              </w:rPr>
            </w:pPr>
            <w:r>
              <w:rPr>
                <w:rFonts w:ascii="Arial" w:hAnsi="Arial" w:cs="Arial"/>
                <w:noProof/>
                <w:sz w:val="52"/>
                <w:szCs w:val="52"/>
              </w:rPr>
              <w:drawing>
                <wp:inline distT="0" distB="0" distL="0" distR="0" wp14:anchorId="016ADC10" wp14:editId="6A596566">
                  <wp:extent cx="904667" cy="914400"/>
                  <wp:effectExtent l="0" t="0" r="0" b="0"/>
                  <wp:docPr id="80841464"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1464" name="Picture 29">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904667" cy="914400"/>
                          </a:xfrm>
                          <a:prstGeom prst="rect">
                            <a:avLst/>
                          </a:prstGeom>
                        </pic:spPr>
                      </pic:pic>
                    </a:graphicData>
                  </a:graphic>
                </wp:inline>
              </w:drawing>
            </w:r>
          </w:p>
        </w:tc>
        <w:tc>
          <w:tcPr>
            <w:tcW w:w="8982" w:type="dxa"/>
            <w:gridSpan w:val="2"/>
            <w:vAlign w:val="bottom"/>
            <w:hideMark/>
          </w:tcPr>
          <w:p w14:paraId="1FDBD9B1" w14:textId="259696CD" w:rsidR="00E62AAB" w:rsidRPr="00306F7C" w:rsidRDefault="00E62AAB" w:rsidP="00E62AAB">
            <w:pPr>
              <w:rPr>
                <w:rFonts w:ascii="Arial" w:hAnsi="Arial" w:cs="Arial"/>
                <w:sz w:val="52"/>
                <w:szCs w:val="52"/>
              </w:rPr>
            </w:pPr>
            <w:r>
              <w:rPr>
                <w:rFonts w:ascii="Arial" w:hAnsi="Arial" w:cs="Arial"/>
                <w:color w:val="595959"/>
                <w:sz w:val="52"/>
                <w:szCs w:val="52"/>
              </w:rPr>
              <w:t>Sandra E. Peterson</w:t>
            </w:r>
          </w:p>
        </w:tc>
      </w:tr>
      <w:tr w:rsidR="00E62AAB" w14:paraId="5957016E" w14:textId="77777777" w:rsidTr="00E62AAB">
        <w:trPr>
          <w:cantSplit/>
        </w:trPr>
        <w:tc>
          <w:tcPr>
            <w:tcW w:w="1818" w:type="dxa"/>
            <w:gridSpan w:val="2"/>
            <w:vMerge/>
            <w:tcMar>
              <w:top w:w="0" w:type="dxa"/>
              <w:left w:w="144" w:type="dxa"/>
              <w:bottom w:w="0" w:type="dxa"/>
              <w:right w:w="0" w:type="dxa"/>
            </w:tcMar>
            <w:hideMark/>
          </w:tcPr>
          <w:p w14:paraId="7BBB8F3E" w14:textId="77777777" w:rsidR="00E62AAB" w:rsidRDefault="00E62AAB">
            <w:pPr>
              <w:rPr>
                <w:rFonts w:ascii="Arial" w:hAnsi="Arial" w:cs="Arial"/>
                <w:sz w:val="52"/>
                <w:szCs w:val="52"/>
              </w:rPr>
            </w:pPr>
          </w:p>
        </w:tc>
        <w:tc>
          <w:tcPr>
            <w:tcW w:w="8982" w:type="dxa"/>
            <w:gridSpan w:val="2"/>
            <w:vAlign w:val="bottom"/>
            <w:hideMark/>
          </w:tcPr>
          <w:p w14:paraId="65732A51" w14:textId="77777777" w:rsidR="00E62AAB" w:rsidRDefault="00E62AAB">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64 | </w:t>
            </w:r>
            <w:r>
              <w:rPr>
                <w:rFonts w:ascii="Arial" w:hAnsi="Arial" w:cs="Arial"/>
                <w:b/>
                <w:bCs/>
                <w:sz w:val="20"/>
                <w:szCs w:val="20"/>
              </w:rPr>
              <w:t>Director Since:</w:t>
            </w:r>
            <w:r>
              <w:rPr>
                <w:rFonts w:ascii="Arial" w:hAnsi="Arial" w:cs="Arial"/>
                <w:sz w:val="20"/>
                <w:szCs w:val="20"/>
              </w:rPr>
              <w:t xml:space="preserve"> 2015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0E2B5BBE" w14:textId="77777777" w:rsidR="00E62AAB" w:rsidRDefault="00E62AAB">
            <w:pPr>
              <w:pStyle w:val="NormalWeb"/>
              <w:spacing w:before="0" w:beforeAutospacing="0" w:after="0" w:afterAutospacing="0"/>
              <w:rPr>
                <w:rFonts w:ascii="Arial" w:hAnsi="Arial" w:cs="Arial"/>
                <w:sz w:val="12"/>
                <w:szCs w:val="12"/>
              </w:rPr>
            </w:pPr>
            <w:r>
              <w:rPr>
                <w:rFonts w:ascii="Arial" w:hAnsi="Arial" w:cs="Arial"/>
                <w:sz w:val="12"/>
                <w:szCs w:val="12"/>
              </w:rPr>
              <w:t> </w:t>
            </w:r>
          </w:p>
          <w:p w14:paraId="306B343B" w14:textId="77777777" w:rsidR="00E62AAB" w:rsidRDefault="00E62AAB">
            <w:pPr>
              <w:pStyle w:val="NormalWeb"/>
              <w:spacing w:before="0" w:beforeAutospacing="0" w:after="0" w:afterAutospacing="0"/>
              <w:rPr>
                <w:rFonts w:ascii="Arial" w:hAnsi="Arial" w:cs="Arial"/>
                <w:sz w:val="12"/>
                <w:szCs w:val="12"/>
              </w:rPr>
            </w:pPr>
            <w:r>
              <w:rPr>
                <w:rFonts w:ascii="Arial" w:hAnsi="Arial" w:cs="Arial"/>
                <w:sz w:val="12"/>
                <w:szCs w:val="12"/>
              </w:rPr>
              <w:t> </w:t>
            </w:r>
          </w:p>
          <w:p w14:paraId="1BBF9BB8" w14:textId="076B15B7" w:rsidR="00E62AAB" w:rsidRDefault="00E62AAB">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322CCB26" wp14:editId="1D23EE85">
                  <wp:extent cx="2197986" cy="274320"/>
                  <wp:effectExtent l="0" t="0" r="0" b="0"/>
                  <wp:docPr id="683990019" name="Picture 30" descr="Ms. Peterson is experienced in global business, leadership, mergers and acquisitions, sales and marketing, and technology. She also represents diversity on our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90019" name="Picture 30" descr="Ms. Peterson is experienced in global business, leadership, mergers and acquisitions, sales and marketing, and technology. She also represents diversity on our board.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7986" cy="274320"/>
                          </a:xfrm>
                          <a:prstGeom prst="rect">
                            <a:avLst/>
                          </a:prstGeom>
                        </pic:spPr>
                      </pic:pic>
                    </a:graphicData>
                  </a:graphic>
                </wp:inline>
              </w:drawing>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p>
          <w:p w14:paraId="20C5A4FB" w14:textId="77777777" w:rsidR="00E62AAB" w:rsidRDefault="00E62AAB">
            <w:pPr>
              <w:pStyle w:val="NormalWeb"/>
              <w:spacing w:before="0" w:beforeAutospacing="0" w:after="20" w:afterAutospacing="0"/>
              <w:rPr>
                <w:rFonts w:ascii="Arial" w:hAnsi="Arial" w:cs="Arial"/>
              </w:rPr>
            </w:pPr>
            <w:r>
              <w:rPr>
                <w:rFonts w:ascii="Arial" w:hAnsi="Arial" w:cs="Arial"/>
              </w:rPr>
              <w:t> </w:t>
            </w:r>
          </w:p>
        </w:tc>
      </w:tr>
    </w:tbl>
    <w:p w14:paraId="79DEC767" w14:textId="77777777" w:rsidR="00D246A9" w:rsidRDefault="00D246A9">
      <w:pPr>
        <w:rPr>
          <w:vanish/>
        </w:rPr>
      </w:pPr>
    </w:p>
    <w:tbl>
      <w:tblPr>
        <w:tblW w:w="9840" w:type="dxa"/>
        <w:tblInd w:w="485" w:type="dxa"/>
        <w:tblLayout w:type="fixed"/>
        <w:tblCellMar>
          <w:left w:w="0" w:type="dxa"/>
          <w:right w:w="0" w:type="dxa"/>
        </w:tblCellMar>
        <w:tblLook w:val="0600" w:firstRow="0" w:lastRow="0" w:firstColumn="0" w:lastColumn="0" w:noHBand="1" w:noVBand="1"/>
      </w:tblPr>
      <w:tblGrid>
        <w:gridCol w:w="5520"/>
        <w:gridCol w:w="4320"/>
      </w:tblGrid>
      <w:tr w:rsidR="00E62AAB" w14:paraId="36AC989E" w14:textId="77777777" w:rsidTr="00E62AAB">
        <w:trPr>
          <w:cantSplit/>
        </w:trPr>
        <w:tc>
          <w:tcPr>
            <w:tcW w:w="5520" w:type="dxa"/>
            <w:tcBorders>
              <w:bottom w:val="single" w:sz="6" w:space="0" w:color="999999"/>
            </w:tcBorders>
            <w:hideMark/>
          </w:tcPr>
          <w:p w14:paraId="22D56E97" w14:textId="77777777" w:rsidR="00E62AAB" w:rsidRPr="00306F7C" w:rsidRDefault="00E62AAB">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71006753" w14:textId="77777777" w:rsidR="00E62AAB" w:rsidRDefault="00E62AAB">
            <w:pPr>
              <w:pStyle w:val="NormalWeb"/>
              <w:spacing w:before="0" w:beforeAutospacing="0" w:after="0" w:afterAutospacing="0"/>
              <w:rPr>
                <w:rFonts w:ascii="Arial" w:hAnsi="Arial" w:cs="Arial"/>
                <w:sz w:val="18"/>
                <w:szCs w:val="18"/>
              </w:rPr>
            </w:pPr>
            <w:r>
              <w:rPr>
                <w:rFonts w:ascii="Arial" w:hAnsi="Arial" w:cs="Arial"/>
                <w:b/>
                <w:bCs/>
                <w:color w:val="0075C9"/>
                <w:sz w:val="18"/>
                <w:szCs w:val="18"/>
              </w:rPr>
              <w:t>Microsoft Corporation (2015-present)</w:t>
            </w:r>
          </w:p>
          <w:p w14:paraId="3788DE81" w14:textId="77777777" w:rsidR="00E62AAB" w:rsidRDefault="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Lead Independent Director (2023-present)</w:t>
            </w:r>
          </w:p>
          <w:p w14:paraId="18CCBE60" w14:textId="77777777" w:rsidR="00E62AAB" w:rsidRDefault="00E62AAB">
            <w:pPr>
              <w:pStyle w:val="NormalWeb"/>
              <w:spacing w:before="0" w:beforeAutospacing="0" w:after="0" w:afterAutospacing="0"/>
              <w:rPr>
                <w:rFonts w:ascii="Arial" w:hAnsi="Arial" w:cs="Arial"/>
                <w:sz w:val="18"/>
                <w:szCs w:val="18"/>
              </w:rPr>
            </w:pPr>
            <w:r>
              <w:rPr>
                <w:rFonts w:ascii="Arial" w:hAnsi="Arial" w:cs="Arial"/>
                <w:b/>
                <w:bCs/>
                <w:color w:val="0075C9"/>
                <w:sz w:val="18"/>
                <w:szCs w:val="18"/>
              </w:rPr>
              <w:t>Clayton, Dubilier &amp; Rice, LLC (2019-present)</w:t>
            </w:r>
          </w:p>
          <w:p w14:paraId="01B0359B" w14:textId="77777777" w:rsidR="00E62AAB" w:rsidRDefault="00E62AAB">
            <w:pPr>
              <w:pStyle w:val="NormalWeb"/>
              <w:spacing w:before="0" w:beforeAutospacing="0" w:after="0" w:afterAutospacing="0"/>
              <w:rPr>
                <w:rFonts w:ascii="Arial" w:hAnsi="Arial" w:cs="Arial"/>
                <w:sz w:val="18"/>
                <w:szCs w:val="18"/>
              </w:rPr>
            </w:pPr>
            <w:r>
              <w:rPr>
                <w:rFonts w:ascii="Arial" w:hAnsi="Arial" w:cs="Arial"/>
                <w:color w:val="0075C9"/>
                <w:sz w:val="18"/>
                <w:szCs w:val="18"/>
              </w:rPr>
              <w:t>(investment firm)</w:t>
            </w:r>
          </w:p>
          <w:p w14:paraId="60052EC8" w14:textId="77777777" w:rsidR="00E62AAB" w:rsidRDefault="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Operating Partner (2019-present)</w:t>
            </w:r>
          </w:p>
          <w:p w14:paraId="41E0A6B2" w14:textId="77777777" w:rsidR="00E62AAB" w:rsidRDefault="00E62AAB">
            <w:pPr>
              <w:pStyle w:val="NormalWeb"/>
              <w:spacing w:before="0" w:beforeAutospacing="0" w:after="0" w:afterAutospacing="0"/>
              <w:rPr>
                <w:rFonts w:ascii="Arial" w:hAnsi="Arial" w:cs="Arial"/>
                <w:sz w:val="18"/>
                <w:szCs w:val="18"/>
              </w:rPr>
            </w:pPr>
            <w:r>
              <w:rPr>
                <w:rFonts w:ascii="Arial" w:hAnsi="Arial" w:cs="Arial"/>
                <w:b/>
                <w:bCs/>
                <w:color w:val="0075C9"/>
                <w:sz w:val="18"/>
                <w:szCs w:val="18"/>
              </w:rPr>
              <w:t>Johnson &amp; Johnson (2012-2018)</w:t>
            </w:r>
          </w:p>
          <w:p w14:paraId="6267C4B1" w14:textId="77777777" w:rsidR="00E62AAB" w:rsidRDefault="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Group Worldwide Chair and member of the Executive Committee (2012-2018)</w:t>
            </w:r>
          </w:p>
          <w:p w14:paraId="41F1A5D3" w14:textId="77777777" w:rsidR="00E62AAB" w:rsidRDefault="00E62AAB">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xml:space="preserve">Bayer </w:t>
            </w:r>
            <w:proofErr w:type="spellStart"/>
            <w:r>
              <w:rPr>
                <w:rFonts w:ascii="Arial" w:hAnsi="Arial" w:cs="Arial"/>
                <w:b/>
                <w:bCs/>
                <w:color w:val="0075C9"/>
                <w:sz w:val="18"/>
                <w:szCs w:val="18"/>
              </w:rPr>
              <w:t>CropScience</w:t>
            </w:r>
            <w:proofErr w:type="spellEnd"/>
            <w:r>
              <w:rPr>
                <w:rFonts w:ascii="Arial" w:hAnsi="Arial" w:cs="Arial"/>
                <w:b/>
                <w:bCs/>
                <w:color w:val="0075C9"/>
                <w:sz w:val="18"/>
                <w:szCs w:val="18"/>
              </w:rPr>
              <w:t xml:space="preserve"> AG (2010-2012)</w:t>
            </w:r>
          </w:p>
          <w:p w14:paraId="6E735C3A" w14:textId="77777777" w:rsidR="00E62AAB" w:rsidRDefault="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Chairman of the Board of Management (2010-2012)</w:t>
            </w:r>
          </w:p>
          <w:p w14:paraId="5AA60F56" w14:textId="77777777" w:rsidR="00E62AAB" w:rsidRDefault="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Member of Board of Management (2010)</w:t>
            </w:r>
          </w:p>
          <w:p w14:paraId="2FA7303B" w14:textId="77777777" w:rsidR="00E62AAB" w:rsidRDefault="00E62AAB">
            <w:pPr>
              <w:pStyle w:val="NormalWeb"/>
              <w:spacing w:before="0" w:beforeAutospacing="0" w:after="0" w:afterAutospacing="0"/>
              <w:rPr>
                <w:rFonts w:ascii="Arial" w:hAnsi="Arial" w:cs="Arial"/>
                <w:sz w:val="18"/>
                <w:szCs w:val="18"/>
              </w:rPr>
            </w:pPr>
            <w:r>
              <w:rPr>
                <w:rFonts w:ascii="Arial" w:hAnsi="Arial" w:cs="Arial"/>
                <w:b/>
                <w:bCs/>
                <w:color w:val="0075C9"/>
                <w:sz w:val="18"/>
                <w:szCs w:val="18"/>
              </w:rPr>
              <w:t>Bayer HealthCare LLC (2005-2010)</w:t>
            </w:r>
          </w:p>
          <w:p w14:paraId="3BF2270B" w14:textId="77777777" w:rsidR="00E62AAB" w:rsidRDefault="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President, Medical Care (2009-2010)</w:t>
            </w:r>
          </w:p>
          <w:p w14:paraId="53D0A224" w14:textId="77777777" w:rsidR="00E62AAB" w:rsidRDefault="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Diabetes Care Division (2005-2009)</w:t>
            </w:r>
          </w:p>
          <w:p w14:paraId="05E9346B" w14:textId="77777777" w:rsidR="00E62AAB" w:rsidRDefault="00E62AAB">
            <w:pPr>
              <w:pStyle w:val="NormalWeb"/>
              <w:spacing w:before="0" w:beforeAutospacing="0" w:after="0" w:afterAutospacing="0"/>
              <w:rPr>
                <w:rFonts w:ascii="Arial" w:hAnsi="Arial" w:cs="Arial"/>
                <w:sz w:val="18"/>
                <w:szCs w:val="18"/>
              </w:rPr>
            </w:pPr>
            <w:r>
              <w:rPr>
                <w:rFonts w:ascii="Arial" w:hAnsi="Arial" w:cs="Arial"/>
                <w:b/>
                <w:bCs/>
                <w:color w:val="0075C9"/>
                <w:sz w:val="18"/>
                <w:szCs w:val="18"/>
              </w:rPr>
              <w:t>Medco Health Solutions, Inc. (1999-2004)</w:t>
            </w:r>
          </w:p>
          <w:p w14:paraId="5E8CB194" w14:textId="77777777" w:rsidR="00E62AAB" w:rsidRDefault="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Group President of Government (2003-2004)</w:t>
            </w:r>
          </w:p>
          <w:p w14:paraId="56856A42" w14:textId="77777777" w:rsidR="00E62AAB" w:rsidRDefault="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Health Businesses (2001-2003)</w:t>
            </w:r>
          </w:p>
          <w:p w14:paraId="574A4A9B" w14:textId="77777777" w:rsidR="00E62AAB" w:rsidRDefault="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Marketing and Strategy (1999-2001)</w:t>
            </w:r>
          </w:p>
          <w:p w14:paraId="581CF3F9" w14:textId="77777777" w:rsidR="00E62AAB" w:rsidRDefault="00E62AAB">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69C8853A" w14:textId="77777777" w:rsidR="00E62AAB" w:rsidRDefault="00E62AAB">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4CABDFE1" w14:textId="77777777" w:rsidR="00E62AAB" w:rsidRDefault="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Compensation</w:t>
            </w:r>
          </w:p>
          <w:p w14:paraId="78B8A475" w14:textId="77777777" w:rsidR="00E62AAB" w:rsidRDefault="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Governance and Nominating (Chair)</w:t>
            </w:r>
          </w:p>
          <w:p w14:paraId="5E8A2805" w14:textId="77777777" w:rsidR="00E62AAB" w:rsidRDefault="00E62AAB">
            <w:pPr>
              <w:pStyle w:val="NormalWeb"/>
              <w:spacing w:before="0" w:beforeAutospacing="0" w:after="0" w:afterAutospacing="0"/>
              <w:rPr>
                <w:rFonts w:ascii="Arial" w:hAnsi="Arial" w:cs="Arial"/>
                <w:sz w:val="20"/>
                <w:szCs w:val="20"/>
              </w:rPr>
            </w:pPr>
            <w:r>
              <w:rPr>
                <w:rFonts w:ascii="Arial" w:hAnsi="Arial" w:cs="Arial"/>
                <w:sz w:val="20"/>
                <w:szCs w:val="20"/>
              </w:rPr>
              <w:t> </w:t>
            </w:r>
          </w:p>
          <w:p w14:paraId="752E2A0B" w14:textId="77777777" w:rsidR="00E62AAB" w:rsidRDefault="00E62AAB">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070FED39" w14:textId="77777777" w:rsidR="00E62AAB" w:rsidRDefault="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090C55B0" w14:textId="77777777" w:rsidR="00E62AAB" w:rsidRDefault="00E62AAB">
            <w:pPr>
              <w:pStyle w:val="NormalWeb"/>
              <w:spacing w:before="0" w:beforeAutospacing="0" w:after="0" w:afterAutospacing="0"/>
              <w:rPr>
                <w:rFonts w:ascii="Arial" w:hAnsi="Arial" w:cs="Arial"/>
                <w:sz w:val="20"/>
                <w:szCs w:val="20"/>
              </w:rPr>
            </w:pPr>
            <w:r>
              <w:rPr>
                <w:rFonts w:ascii="Arial" w:hAnsi="Arial" w:cs="Arial"/>
                <w:sz w:val="20"/>
                <w:szCs w:val="20"/>
              </w:rPr>
              <w:t> </w:t>
            </w:r>
          </w:p>
          <w:p w14:paraId="393FFA55" w14:textId="77777777" w:rsidR="00E62AAB" w:rsidRDefault="00E62AAB">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66736DF6" w14:textId="77777777" w:rsidR="00E62AAB" w:rsidRDefault="00E62AAB">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754E6376" w14:textId="77777777" w:rsidR="00E62AAB" w:rsidRDefault="00E62AA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proofErr w:type="spellStart"/>
            <w:r>
              <w:rPr>
                <w:rFonts w:ascii="Arial" w:hAnsi="Arial" w:cs="Arial"/>
                <w:sz w:val="18"/>
                <w:szCs w:val="18"/>
              </w:rPr>
              <w:t>Covetrus</w:t>
            </w:r>
            <w:proofErr w:type="spellEnd"/>
            <w:r>
              <w:rPr>
                <w:rFonts w:ascii="Arial" w:hAnsi="Arial" w:cs="Arial"/>
                <w:sz w:val="18"/>
                <w:szCs w:val="18"/>
              </w:rPr>
              <w:t>, Inc.</w:t>
            </w:r>
          </w:p>
          <w:p w14:paraId="5B4A91B0" w14:textId="77777777" w:rsidR="00E62AAB" w:rsidRDefault="00E62AA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proofErr w:type="spellStart"/>
            <w:r>
              <w:rPr>
                <w:rFonts w:ascii="Arial" w:hAnsi="Arial" w:cs="Arial"/>
                <w:sz w:val="18"/>
                <w:szCs w:val="18"/>
              </w:rPr>
              <w:t>Zymergen</w:t>
            </w:r>
            <w:proofErr w:type="spellEnd"/>
            <w:r>
              <w:rPr>
                <w:rFonts w:ascii="Arial" w:hAnsi="Arial" w:cs="Arial"/>
                <w:sz w:val="18"/>
                <w:szCs w:val="18"/>
              </w:rPr>
              <w:t>, Inc.</w:t>
            </w:r>
          </w:p>
        </w:tc>
      </w:tr>
    </w:tbl>
    <w:p w14:paraId="1667BCB1" w14:textId="77777777" w:rsidR="00D246A9" w:rsidRPr="00306F7C" w:rsidRDefault="00D246A9">
      <w:pPr>
        <w:pStyle w:val="NormalWeb"/>
        <w:keepNext/>
        <w:spacing w:before="0" w:beforeAutospacing="0" w:after="0" w:afterAutospacing="0"/>
      </w:pPr>
      <w:r>
        <w:t> </w:t>
      </w:r>
    </w:p>
    <w:tbl>
      <w:tblPr>
        <w:tblW w:w="0" w:type="auto"/>
        <w:tblLayout w:type="fixed"/>
        <w:tblCellMar>
          <w:left w:w="0" w:type="dxa"/>
          <w:right w:w="0" w:type="dxa"/>
        </w:tblCellMar>
        <w:tblLook w:val="0600" w:firstRow="0" w:lastRow="0" w:firstColumn="0" w:lastColumn="0" w:noHBand="1" w:noVBand="1"/>
      </w:tblPr>
      <w:tblGrid>
        <w:gridCol w:w="309"/>
        <w:gridCol w:w="1525"/>
        <w:gridCol w:w="4538"/>
        <w:gridCol w:w="4428"/>
      </w:tblGrid>
      <w:tr w:rsidR="00D246A9" w14:paraId="26B9E9A9" w14:textId="77777777" w:rsidTr="00304866">
        <w:tc>
          <w:tcPr>
            <w:tcW w:w="309" w:type="dxa"/>
            <w:vAlign w:val="center"/>
            <w:hideMark/>
          </w:tcPr>
          <w:p w14:paraId="24BE9D3B" w14:textId="77777777" w:rsidR="00D246A9" w:rsidRDefault="00D246A9"/>
        </w:tc>
        <w:tc>
          <w:tcPr>
            <w:tcW w:w="1525" w:type="dxa"/>
            <w:vAlign w:val="center"/>
            <w:hideMark/>
          </w:tcPr>
          <w:p w14:paraId="3FA2AC7C" w14:textId="77777777" w:rsidR="00D246A9" w:rsidRDefault="00D246A9">
            <w:pPr>
              <w:rPr>
                <w:sz w:val="20"/>
              </w:rPr>
            </w:pPr>
          </w:p>
        </w:tc>
        <w:tc>
          <w:tcPr>
            <w:tcW w:w="4538" w:type="dxa"/>
            <w:vAlign w:val="center"/>
            <w:hideMark/>
          </w:tcPr>
          <w:p w14:paraId="5EBFF8E5" w14:textId="77777777" w:rsidR="00D246A9" w:rsidRDefault="00D246A9">
            <w:pPr>
              <w:rPr>
                <w:sz w:val="20"/>
              </w:rPr>
            </w:pPr>
          </w:p>
        </w:tc>
        <w:tc>
          <w:tcPr>
            <w:tcW w:w="4428" w:type="dxa"/>
            <w:vAlign w:val="center"/>
            <w:hideMark/>
          </w:tcPr>
          <w:p w14:paraId="05BC5FF5" w14:textId="77777777" w:rsidR="00D246A9" w:rsidRDefault="00D246A9">
            <w:pPr>
              <w:rPr>
                <w:sz w:val="20"/>
              </w:rPr>
            </w:pPr>
          </w:p>
        </w:tc>
      </w:tr>
      <w:tr w:rsidR="00304866" w14:paraId="7A1DCFA5" w14:textId="77777777" w:rsidTr="00304866">
        <w:trPr>
          <w:cantSplit/>
          <w:trHeight w:val="598"/>
        </w:trPr>
        <w:tc>
          <w:tcPr>
            <w:tcW w:w="1834" w:type="dxa"/>
            <w:gridSpan w:val="2"/>
            <w:vMerge w:val="restart"/>
            <w:tcMar>
              <w:top w:w="0" w:type="dxa"/>
              <w:left w:w="144" w:type="dxa"/>
              <w:bottom w:w="0" w:type="dxa"/>
              <w:right w:w="0" w:type="dxa"/>
            </w:tcMar>
            <w:hideMark/>
          </w:tcPr>
          <w:p w14:paraId="1FE1B907" w14:textId="643822CC" w:rsidR="00304866" w:rsidRDefault="00304866" w:rsidP="00304866">
            <w:pPr>
              <w:jc w:val="center"/>
              <w:rPr>
                <w:rFonts w:ascii="Arial" w:hAnsi="Arial" w:cs="Arial"/>
                <w:sz w:val="52"/>
                <w:szCs w:val="52"/>
              </w:rPr>
            </w:pPr>
            <w:r>
              <w:rPr>
                <w:rFonts w:ascii="Arial" w:hAnsi="Arial" w:cs="Arial"/>
                <w:noProof/>
                <w:sz w:val="52"/>
                <w:szCs w:val="52"/>
              </w:rPr>
              <w:drawing>
                <wp:inline distT="0" distB="0" distL="0" distR="0" wp14:anchorId="589BD96E" wp14:editId="00B816D2">
                  <wp:extent cx="914400" cy="914400"/>
                  <wp:effectExtent l="0" t="0" r="0" b="0"/>
                  <wp:docPr id="1665944418"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44418" name="Picture 3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8966" w:type="dxa"/>
            <w:gridSpan w:val="2"/>
            <w:vAlign w:val="bottom"/>
            <w:hideMark/>
          </w:tcPr>
          <w:p w14:paraId="2F80C54C" w14:textId="687E9927" w:rsidR="00304866" w:rsidRPr="00306F7C" w:rsidRDefault="00304866" w:rsidP="00304866">
            <w:pPr>
              <w:rPr>
                <w:rFonts w:ascii="Arial" w:hAnsi="Arial" w:cs="Arial"/>
                <w:sz w:val="52"/>
                <w:szCs w:val="52"/>
              </w:rPr>
            </w:pPr>
            <w:r>
              <w:rPr>
                <w:rFonts w:ascii="Arial" w:hAnsi="Arial" w:cs="Arial"/>
                <w:color w:val="595959"/>
                <w:sz w:val="52"/>
                <w:szCs w:val="52"/>
              </w:rPr>
              <w:t>Penny S. Pritzker</w:t>
            </w:r>
          </w:p>
        </w:tc>
      </w:tr>
      <w:tr w:rsidR="00304866" w14:paraId="22E287D8" w14:textId="77777777" w:rsidTr="00304866">
        <w:trPr>
          <w:cantSplit/>
        </w:trPr>
        <w:tc>
          <w:tcPr>
            <w:tcW w:w="1834" w:type="dxa"/>
            <w:gridSpan w:val="2"/>
            <w:vMerge/>
            <w:tcMar>
              <w:top w:w="0" w:type="dxa"/>
              <w:left w:w="144" w:type="dxa"/>
              <w:bottom w:w="0" w:type="dxa"/>
              <w:right w:w="0" w:type="dxa"/>
            </w:tcMar>
            <w:hideMark/>
          </w:tcPr>
          <w:p w14:paraId="775EEE6B" w14:textId="77777777" w:rsidR="00304866" w:rsidRDefault="00304866">
            <w:pPr>
              <w:rPr>
                <w:rFonts w:ascii="Arial" w:hAnsi="Arial" w:cs="Arial"/>
                <w:sz w:val="52"/>
                <w:szCs w:val="52"/>
              </w:rPr>
            </w:pPr>
          </w:p>
        </w:tc>
        <w:tc>
          <w:tcPr>
            <w:tcW w:w="8966" w:type="dxa"/>
            <w:gridSpan w:val="2"/>
            <w:vAlign w:val="bottom"/>
            <w:hideMark/>
          </w:tcPr>
          <w:p w14:paraId="0FED7FFA" w14:textId="77777777" w:rsidR="00304866" w:rsidRDefault="00304866">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64 | </w:t>
            </w:r>
            <w:r>
              <w:rPr>
                <w:rFonts w:ascii="Arial" w:hAnsi="Arial" w:cs="Arial"/>
                <w:b/>
                <w:bCs/>
                <w:sz w:val="20"/>
                <w:szCs w:val="20"/>
              </w:rPr>
              <w:t>Director Since:</w:t>
            </w:r>
            <w:r>
              <w:rPr>
                <w:rFonts w:ascii="Arial" w:hAnsi="Arial" w:cs="Arial"/>
                <w:sz w:val="20"/>
                <w:szCs w:val="20"/>
              </w:rPr>
              <w:t xml:space="preserve"> 2017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25534C19" w14:textId="77777777" w:rsidR="00304866" w:rsidRDefault="00304866">
            <w:pPr>
              <w:pStyle w:val="NormalWeb"/>
              <w:spacing w:before="0" w:beforeAutospacing="0" w:after="0" w:afterAutospacing="0"/>
              <w:rPr>
                <w:rFonts w:ascii="Arial" w:hAnsi="Arial" w:cs="Arial"/>
                <w:sz w:val="12"/>
                <w:szCs w:val="12"/>
              </w:rPr>
            </w:pPr>
            <w:r>
              <w:rPr>
                <w:rFonts w:ascii="Arial" w:hAnsi="Arial" w:cs="Arial"/>
                <w:sz w:val="12"/>
                <w:szCs w:val="12"/>
              </w:rPr>
              <w:t> </w:t>
            </w:r>
          </w:p>
          <w:p w14:paraId="079B305B" w14:textId="77777777" w:rsidR="00304866" w:rsidRDefault="00304866">
            <w:pPr>
              <w:pStyle w:val="NormalWeb"/>
              <w:spacing w:before="0" w:beforeAutospacing="0" w:after="0" w:afterAutospacing="0"/>
              <w:rPr>
                <w:rFonts w:ascii="Arial" w:hAnsi="Arial" w:cs="Arial"/>
                <w:sz w:val="12"/>
                <w:szCs w:val="12"/>
              </w:rPr>
            </w:pPr>
            <w:r>
              <w:rPr>
                <w:rFonts w:ascii="Arial" w:hAnsi="Arial" w:cs="Arial"/>
                <w:sz w:val="12"/>
                <w:szCs w:val="12"/>
              </w:rPr>
              <w:t> </w:t>
            </w:r>
          </w:p>
          <w:p w14:paraId="679ABB4B" w14:textId="6617B590" w:rsidR="00304866" w:rsidRDefault="00304866">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369D3AC4" wp14:editId="0C4151BD">
                  <wp:extent cx="1485604" cy="274320"/>
                  <wp:effectExtent l="0" t="0" r="635" b="0"/>
                  <wp:docPr id="810135974" name="Picture 32" descr="Ms. Pritzker is experienced in global business, leadership, and mergers and acquisitions. She also represents diversity on our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35974" name="Picture 32" descr="Ms. Pritzker is experienced in global business, leadership, and mergers and acquisitions. She also represents diversity on our board.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85604" cy="274320"/>
                          </a:xfrm>
                          <a:prstGeom prst="rect">
                            <a:avLst/>
                          </a:prstGeom>
                        </pic:spPr>
                      </pic:pic>
                    </a:graphicData>
                  </a:graphic>
                </wp:inline>
              </w:drawing>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p>
          <w:p w14:paraId="36101AD7" w14:textId="77777777" w:rsidR="00304866" w:rsidRDefault="00304866">
            <w:pPr>
              <w:pStyle w:val="NormalWeb"/>
              <w:spacing w:before="0" w:beforeAutospacing="0" w:after="20" w:afterAutospacing="0"/>
              <w:rPr>
                <w:rFonts w:ascii="Arial" w:hAnsi="Arial" w:cs="Arial"/>
              </w:rPr>
            </w:pPr>
            <w:r>
              <w:rPr>
                <w:rFonts w:ascii="Arial" w:hAnsi="Arial" w:cs="Arial"/>
              </w:rPr>
              <w:t> </w:t>
            </w:r>
          </w:p>
        </w:tc>
      </w:tr>
    </w:tbl>
    <w:p w14:paraId="678225DC" w14:textId="77777777" w:rsidR="00D246A9" w:rsidRDefault="00D246A9">
      <w:pPr>
        <w:rPr>
          <w:vanish/>
        </w:rPr>
      </w:pPr>
    </w:p>
    <w:tbl>
      <w:tblPr>
        <w:tblW w:w="9499" w:type="dxa"/>
        <w:tblInd w:w="653" w:type="dxa"/>
        <w:tblLayout w:type="fixed"/>
        <w:tblCellMar>
          <w:left w:w="0" w:type="dxa"/>
          <w:right w:w="0" w:type="dxa"/>
        </w:tblCellMar>
        <w:tblLook w:val="0600" w:firstRow="0" w:lastRow="0" w:firstColumn="0" w:lastColumn="0" w:noHBand="1" w:noVBand="1"/>
      </w:tblPr>
      <w:tblGrid>
        <w:gridCol w:w="5179"/>
        <w:gridCol w:w="4320"/>
      </w:tblGrid>
      <w:tr w:rsidR="00304866" w14:paraId="7F6D5457" w14:textId="77777777" w:rsidTr="00304866">
        <w:trPr>
          <w:cantSplit/>
        </w:trPr>
        <w:tc>
          <w:tcPr>
            <w:tcW w:w="5179" w:type="dxa"/>
            <w:tcBorders>
              <w:bottom w:val="single" w:sz="6" w:space="0" w:color="999999"/>
            </w:tcBorders>
            <w:hideMark/>
          </w:tcPr>
          <w:p w14:paraId="7AE83369" w14:textId="77777777" w:rsidR="00304866" w:rsidRPr="00306F7C" w:rsidRDefault="00304866">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39093FD4" w14:textId="77777777" w:rsidR="00304866" w:rsidRDefault="00304866">
            <w:pPr>
              <w:pStyle w:val="NormalWeb"/>
              <w:spacing w:before="0" w:beforeAutospacing="0" w:after="0" w:afterAutospacing="0"/>
              <w:rPr>
                <w:rFonts w:ascii="Arial" w:hAnsi="Arial" w:cs="Arial"/>
                <w:sz w:val="18"/>
                <w:szCs w:val="18"/>
              </w:rPr>
            </w:pPr>
            <w:r>
              <w:rPr>
                <w:rFonts w:ascii="Arial" w:hAnsi="Arial" w:cs="Arial"/>
                <w:b/>
                <w:bCs/>
                <w:color w:val="0075C9"/>
                <w:sz w:val="18"/>
                <w:szCs w:val="18"/>
              </w:rPr>
              <w:t>United States Secretary of Commerce (2013-2017)</w:t>
            </w:r>
          </w:p>
          <w:p w14:paraId="32E2709F" w14:textId="77777777" w:rsidR="00304866" w:rsidRDefault="00304866">
            <w:pPr>
              <w:pStyle w:val="NormalWeb"/>
              <w:spacing w:before="0" w:beforeAutospacing="0" w:after="0" w:afterAutospacing="0"/>
              <w:rPr>
                <w:rFonts w:ascii="Arial" w:hAnsi="Arial" w:cs="Arial"/>
                <w:sz w:val="18"/>
                <w:szCs w:val="18"/>
              </w:rPr>
            </w:pPr>
            <w:r>
              <w:rPr>
                <w:rFonts w:ascii="Arial" w:hAnsi="Arial" w:cs="Arial"/>
                <w:b/>
                <w:bCs/>
                <w:color w:val="0075C9"/>
                <w:sz w:val="18"/>
                <w:szCs w:val="18"/>
              </w:rPr>
              <w:t>PSP Partners, LLC (present)</w:t>
            </w:r>
          </w:p>
          <w:p w14:paraId="34075DFA" w14:textId="77777777" w:rsidR="00304866" w:rsidRDefault="00304866">
            <w:pPr>
              <w:pStyle w:val="NormalWeb"/>
              <w:spacing w:before="0" w:beforeAutospacing="0" w:after="0" w:afterAutospacing="0"/>
              <w:rPr>
                <w:rFonts w:ascii="Arial" w:hAnsi="Arial" w:cs="Arial"/>
                <w:sz w:val="18"/>
                <w:szCs w:val="18"/>
              </w:rPr>
            </w:pPr>
            <w:r>
              <w:rPr>
                <w:rFonts w:ascii="Arial" w:hAnsi="Arial" w:cs="Arial"/>
                <w:color w:val="0075C9"/>
                <w:sz w:val="18"/>
                <w:szCs w:val="18"/>
              </w:rPr>
              <w:t>(private investment firm)</w:t>
            </w:r>
          </w:p>
          <w:p w14:paraId="19AD0DF9"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Founder and Chairman (present)</w:t>
            </w:r>
          </w:p>
          <w:p w14:paraId="1EFDCE3E" w14:textId="77777777" w:rsidR="00304866" w:rsidRDefault="00304866">
            <w:pPr>
              <w:pStyle w:val="NormalWeb"/>
              <w:spacing w:before="0" w:beforeAutospacing="0" w:after="0" w:afterAutospacing="0"/>
              <w:rPr>
                <w:rFonts w:ascii="Arial" w:hAnsi="Arial" w:cs="Arial"/>
                <w:sz w:val="18"/>
                <w:szCs w:val="18"/>
              </w:rPr>
            </w:pPr>
            <w:r>
              <w:rPr>
                <w:rFonts w:ascii="Arial" w:hAnsi="Arial" w:cs="Arial"/>
                <w:b/>
                <w:bCs/>
                <w:color w:val="0075C9"/>
                <w:sz w:val="18"/>
                <w:szCs w:val="18"/>
              </w:rPr>
              <w:t>Pritzker Realty Group (present)</w:t>
            </w:r>
          </w:p>
          <w:p w14:paraId="09DDF0A0"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and Chairman (present)</w:t>
            </w:r>
          </w:p>
          <w:p w14:paraId="2264E446" w14:textId="77777777" w:rsidR="00304866" w:rsidRDefault="00304866">
            <w:pPr>
              <w:pStyle w:val="NormalWeb"/>
              <w:spacing w:before="0" w:beforeAutospacing="0" w:after="0" w:afterAutospacing="0"/>
              <w:rPr>
                <w:rFonts w:ascii="Arial" w:hAnsi="Arial" w:cs="Arial"/>
                <w:sz w:val="18"/>
                <w:szCs w:val="18"/>
              </w:rPr>
            </w:pPr>
            <w:r>
              <w:rPr>
                <w:rFonts w:ascii="Arial" w:hAnsi="Arial" w:cs="Arial"/>
                <w:b/>
                <w:bCs/>
                <w:color w:val="0075C9"/>
                <w:sz w:val="18"/>
                <w:szCs w:val="18"/>
              </w:rPr>
              <w:t>Inspired Capital Partners (present)</w:t>
            </w:r>
          </w:p>
          <w:p w14:paraId="1396031C"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and Chairman (present)</w:t>
            </w:r>
          </w:p>
          <w:p w14:paraId="7D020D0E" w14:textId="77777777" w:rsidR="00304866" w:rsidRDefault="00304866">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Artemis Real Estate Partners (present)</w:t>
            </w:r>
          </w:p>
          <w:p w14:paraId="52BBC1A7"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(present)</w:t>
            </w:r>
          </w:p>
          <w:p w14:paraId="08010F58" w14:textId="77777777" w:rsidR="00304866" w:rsidRDefault="00304866">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The Parking Spot (1998-2011)</w:t>
            </w:r>
          </w:p>
          <w:p w14:paraId="2BB6571F"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and Chairman (1998-2011)</w:t>
            </w:r>
          </w:p>
          <w:p w14:paraId="0D3903ED" w14:textId="77777777" w:rsidR="00304866" w:rsidRDefault="00304866">
            <w:pPr>
              <w:pStyle w:val="NormalWeb"/>
              <w:spacing w:before="0" w:beforeAutospacing="0" w:after="0" w:afterAutospacing="0"/>
              <w:rPr>
                <w:rFonts w:ascii="Arial" w:hAnsi="Arial" w:cs="Arial"/>
                <w:sz w:val="18"/>
                <w:szCs w:val="18"/>
              </w:rPr>
            </w:pPr>
            <w:r>
              <w:rPr>
                <w:rFonts w:ascii="Arial" w:hAnsi="Arial" w:cs="Arial"/>
                <w:b/>
                <w:bCs/>
                <w:color w:val="0075C9"/>
                <w:sz w:val="18"/>
                <w:szCs w:val="18"/>
              </w:rPr>
              <w:t>Vi Senior Living (1987-2011)</w:t>
            </w:r>
          </w:p>
          <w:p w14:paraId="5F584F65"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Founder and Chairman (1987-2011)</w:t>
            </w:r>
          </w:p>
          <w:p w14:paraId="59EACDA6" w14:textId="77777777" w:rsidR="00304866" w:rsidRDefault="00304866">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1FE05217" w14:textId="77777777" w:rsidR="00304866" w:rsidRDefault="00304866">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7BBA0EB3"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Environmental, Social, and Public Policy (Chair)</w:t>
            </w:r>
          </w:p>
          <w:p w14:paraId="2BD2DAC5" w14:textId="77777777" w:rsidR="00304866" w:rsidRDefault="00304866">
            <w:pPr>
              <w:pStyle w:val="NormalWeb"/>
              <w:spacing w:before="0" w:beforeAutospacing="0" w:after="0" w:afterAutospacing="0"/>
              <w:rPr>
                <w:rFonts w:ascii="Arial" w:hAnsi="Arial" w:cs="Arial"/>
                <w:sz w:val="20"/>
                <w:szCs w:val="20"/>
              </w:rPr>
            </w:pPr>
            <w:r>
              <w:rPr>
                <w:rFonts w:ascii="Arial" w:hAnsi="Arial" w:cs="Arial"/>
                <w:sz w:val="20"/>
                <w:szCs w:val="20"/>
              </w:rPr>
              <w:t> </w:t>
            </w:r>
          </w:p>
          <w:p w14:paraId="531F8737" w14:textId="77777777" w:rsidR="00304866" w:rsidRDefault="00304866">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7B93260A"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57273E66" w14:textId="77777777" w:rsidR="00304866" w:rsidRDefault="00304866">
            <w:pPr>
              <w:pStyle w:val="NormalWeb"/>
              <w:spacing w:before="0" w:beforeAutospacing="0" w:after="0" w:afterAutospacing="0"/>
              <w:rPr>
                <w:rFonts w:ascii="Arial" w:hAnsi="Arial" w:cs="Arial"/>
                <w:sz w:val="20"/>
                <w:szCs w:val="20"/>
              </w:rPr>
            </w:pPr>
            <w:r>
              <w:rPr>
                <w:rFonts w:ascii="Arial" w:hAnsi="Arial" w:cs="Arial"/>
                <w:sz w:val="20"/>
                <w:szCs w:val="20"/>
              </w:rPr>
              <w:t> </w:t>
            </w:r>
          </w:p>
          <w:p w14:paraId="1791B722" w14:textId="77777777" w:rsidR="00304866" w:rsidRDefault="00304866">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4C2B524A" w14:textId="77777777" w:rsidR="00304866" w:rsidRDefault="00304866">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3500D0E7"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7B5AF698" w14:textId="77777777" w:rsidR="00304866" w:rsidRDefault="00304866">
            <w:pPr>
              <w:pStyle w:val="NormalWeb"/>
              <w:spacing w:before="0" w:beforeAutospacing="0" w:after="0" w:afterAutospacing="0"/>
              <w:rPr>
                <w:rFonts w:ascii="Arial" w:hAnsi="Arial" w:cs="Arial"/>
                <w:sz w:val="20"/>
                <w:szCs w:val="20"/>
              </w:rPr>
            </w:pPr>
            <w:r>
              <w:rPr>
                <w:rFonts w:ascii="Arial" w:hAnsi="Arial" w:cs="Arial"/>
                <w:sz w:val="20"/>
                <w:szCs w:val="20"/>
              </w:rPr>
              <w:t> </w:t>
            </w:r>
          </w:p>
          <w:p w14:paraId="6BB32CC3" w14:textId="77777777" w:rsidR="00304866" w:rsidRDefault="00304866">
            <w:pPr>
              <w:pStyle w:val="NormalWeb"/>
              <w:keepNext/>
              <w:spacing w:before="0" w:beforeAutospacing="0" w:after="0" w:afterAutospacing="0"/>
              <w:rPr>
                <w:rFonts w:ascii="Arial" w:hAnsi="Arial" w:cs="Arial"/>
                <w:sz w:val="18"/>
                <w:szCs w:val="18"/>
              </w:rPr>
            </w:pPr>
            <w:r>
              <w:rPr>
                <w:rFonts w:ascii="Arial" w:hAnsi="Arial" w:cs="Arial"/>
                <w:b/>
                <w:bCs/>
                <w:sz w:val="18"/>
                <w:szCs w:val="18"/>
              </w:rPr>
              <w:t>Other Positions:</w:t>
            </w:r>
          </w:p>
          <w:p w14:paraId="53C9254E" w14:textId="77777777" w:rsidR="00304866" w:rsidRDefault="00304866">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Pritzker Traubert Foundation</w:t>
            </w:r>
          </w:p>
        </w:tc>
      </w:tr>
    </w:tbl>
    <w:p w14:paraId="20497C21" w14:textId="77777777" w:rsidR="00D246A9" w:rsidRPr="00306F7C" w:rsidRDefault="00D246A9">
      <w:pPr>
        <w:pStyle w:val="NormalWeb"/>
        <w:keepNext/>
        <w:spacing w:before="0" w:beforeAutospacing="0" w:after="0" w:afterAutospacing="0"/>
        <w:rPr>
          <w:sz w:val="48"/>
          <w:szCs w:val="48"/>
        </w:rPr>
      </w:pPr>
      <w:r>
        <w:rPr>
          <w:sz w:val="48"/>
          <w:szCs w:val="48"/>
        </w:rPr>
        <w:t> </w:t>
      </w:r>
    </w:p>
    <w:p w14:paraId="3E2BAE78" w14:textId="77777777" w:rsidR="00D246A9" w:rsidRDefault="00D246A9">
      <w:pPr>
        <w:pStyle w:val="NormalWeb"/>
        <w:spacing w:before="270" w:beforeAutospacing="0" w:after="0" w:afterAutospacing="0"/>
        <w:rPr>
          <w:sz w:val="2"/>
          <w:szCs w:val="2"/>
        </w:rPr>
      </w:pPr>
      <w:r>
        <w:rPr>
          <w:sz w:val="2"/>
          <w:szCs w:val="2"/>
        </w:rPr>
        <w:t> </w:t>
      </w:r>
    </w:p>
    <w:p w14:paraId="2CD0F914" w14:textId="77777777" w:rsidR="00D246A9" w:rsidRPr="00F749EE" w:rsidRDefault="00D246A9" w:rsidP="00F749EE">
      <w:pPr>
        <w:pStyle w:val="NormalWeb"/>
        <w:keepNext/>
        <w:pageBreakBefore/>
        <w:spacing w:before="0" w:beforeAutospacing="0" w:after="0" w:afterAutospacing="0"/>
        <w:rPr>
          <w:sz w:val="2"/>
          <w:szCs w:val="36"/>
        </w:rPr>
      </w:pPr>
      <w:r w:rsidRPr="00F749EE">
        <w:rPr>
          <w:sz w:val="2"/>
          <w:szCs w:val="36"/>
        </w:rPr>
        <w:lastRenderedPageBreak/>
        <w:t> </w:t>
      </w:r>
    </w:p>
    <w:tbl>
      <w:tblPr>
        <w:tblW w:w="0" w:type="auto"/>
        <w:tblLayout w:type="fixed"/>
        <w:tblCellMar>
          <w:left w:w="0" w:type="dxa"/>
          <w:right w:w="0" w:type="dxa"/>
        </w:tblCellMar>
        <w:tblLook w:val="0600" w:firstRow="0" w:lastRow="0" w:firstColumn="0" w:lastColumn="0" w:noHBand="1" w:noVBand="1"/>
      </w:tblPr>
      <w:tblGrid>
        <w:gridCol w:w="305"/>
        <w:gridCol w:w="1503"/>
        <w:gridCol w:w="5212"/>
        <w:gridCol w:w="3780"/>
      </w:tblGrid>
      <w:tr w:rsidR="00D246A9" w14:paraId="09DD06D8" w14:textId="77777777" w:rsidTr="00304866">
        <w:tc>
          <w:tcPr>
            <w:tcW w:w="305" w:type="dxa"/>
            <w:vAlign w:val="center"/>
            <w:hideMark/>
          </w:tcPr>
          <w:p w14:paraId="67F032AE" w14:textId="77777777" w:rsidR="00D246A9" w:rsidRDefault="00D246A9">
            <w:pPr>
              <w:rPr>
                <w:sz w:val="36"/>
                <w:szCs w:val="36"/>
              </w:rPr>
            </w:pPr>
          </w:p>
        </w:tc>
        <w:tc>
          <w:tcPr>
            <w:tcW w:w="1503" w:type="dxa"/>
            <w:vAlign w:val="center"/>
            <w:hideMark/>
          </w:tcPr>
          <w:p w14:paraId="04D522D1" w14:textId="77777777" w:rsidR="00D246A9" w:rsidRDefault="00D246A9">
            <w:pPr>
              <w:rPr>
                <w:sz w:val="20"/>
              </w:rPr>
            </w:pPr>
          </w:p>
        </w:tc>
        <w:tc>
          <w:tcPr>
            <w:tcW w:w="5212" w:type="dxa"/>
            <w:vAlign w:val="center"/>
            <w:hideMark/>
          </w:tcPr>
          <w:p w14:paraId="7FA56B16" w14:textId="77777777" w:rsidR="00D246A9" w:rsidRDefault="00D246A9">
            <w:pPr>
              <w:rPr>
                <w:sz w:val="20"/>
              </w:rPr>
            </w:pPr>
          </w:p>
        </w:tc>
        <w:tc>
          <w:tcPr>
            <w:tcW w:w="3780" w:type="dxa"/>
            <w:vAlign w:val="center"/>
            <w:hideMark/>
          </w:tcPr>
          <w:p w14:paraId="080A2FEB" w14:textId="77777777" w:rsidR="00D246A9" w:rsidRDefault="00D246A9">
            <w:pPr>
              <w:rPr>
                <w:sz w:val="20"/>
              </w:rPr>
            </w:pPr>
          </w:p>
        </w:tc>
      </w:tr>
      <w:tr w:rsidR="00304866" w14:paraId="4A121990" w14:textId="77777777" w:rsidTr="00516F28">
        <w:trPr>
          <w:cantSplit/>
          <w:trHeight w:val="598"/>
        </w:trPr>
        <w:tc>
          <w:tcPr>
            <w:tcW w:w="1808" w:type="dxa"/>
            <w:gridSpan w:val="2"/>
            <w:vMerge w:val="restart"/>
            <w:tcMar>
              <w:top w:w="0" w:type="dxa"/>
              <w:left w:w="144" w:type="dxa"/>
              <w:bottom w:w="0" w:type="dxa"/>
              <w:right w:w="0" w:type="dxa"/>
            </w:tcMar>
            <w:hideMark/>
          </w:tcPr>
          <w:p w14:paraId="0EA9B423" w14:textId="7A18CD7D" w:rsidR="00304866" w:rsidRDefault="00304866" w:rsidP="00304866">
            <w:pPr>
              <w:jc w:val="center"/>
              <w:rPr>
                <w:rFonts w:ascii="Arial" w:hAnsi="Arial" w:cs="Arial"/>
                <w:sz w:val="52"/>
                <w:szCs w:val="52"/>
              </w:rPr>
            </w:pPr>
            <w:r>
              <w:rPr>
                <w:rFonts w:ascii="Arial" w:hAnsi="Arial" w:cs="Arial"/>
                <w:noProof/>
                <w:sz w:val="52"/>
                <w:szCs w:val="52"/>
              </w:rPr>
              <w:drawing>
                <wp:inline distT="0" distB="0" distL="0" distR="0" wp14:anchorId="249025B4" wp14:editId="74546588">
                  <wp:extent cx="904667" cy="914400"/>
                  <wp:effectExtent l="0" t="0" r="0" b="0"/>
                  <wp:docPr id="768030568"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30568" name="Picture 33">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904667" cy="914400"/>
                          </a:xfrm>
                          <a:prstGeom prst="rect">
                            <a:avLst/>
                          </a:prstGeom>
                        </pic:spPr>
                      </pic:pic>
                    </a:graphicData>
                  </a:graphic>
                </wp:inline>
              </w:drawing>
            </w:r>
          </w:p>
        </w:tc>
        <w:tc>
          <w:tcPr>
            <w:tcW w:w="8992" w:type="dxa"/>
            <w:gridSpan w:val="2"/>
            <w:vAlign w:val="bottom"/>
            <w:hideMark/>
          </w:tcPr>
          <w:p w14:paraId="32E9B002" w14:textId="05C61E10" w:rsidR="00304866" w:rsidRPr="00306F7C" w:rsidRDefault="00304866" w:rsidP="00304866">
            <w:pPr>
              <w:rPr>
                <w:rFonts w:ascii="Arial" w:hAnsi="Arial" w:cs="Arial"/>
                <w:sz w:val="52"/>
                <w:szCs w:val="52"/>
              </w:rPr>
            </w:pPr>
            <w:r>
              <w:rPr>
                <w:rFonts w:ascii="Arial" w:hAnsi="Arial" w:cs="Arial"/>
                <w:color w:val="595959"/>
                <w:sz w:val="52"/>
                <w:szCs w:val="52"/>
              </w:rPr>
              <w:t>Carlos A. Rodriguez</w:t>
            </w:r>
          </w:p>
        </w:tc>
      </w:tr>
      <w:tr w:rsidR="00304866" w14:paraId="31F10791" w14:textId="77777777" w:rsidTr="00304866">
        <w:trPr>
          <w:cantSplit/>
        </w:trPr>
        <w:tc>
          <w:tcPr>
            <w:tcW w:w="1808" w:type="dxa"/>
            <w:gridSpan w:val="2"/>
            <w:vMerge/>
            <w:tcMar>
              <w:top w:w="0" w:type="dxa"/>
              <w:left w:w="144" w:type="dxa"/>
              <w:bottom w:w="0" w:type="dxa"/>
              <w:right w:w="0" w:type="dxa"/>
            </w:tcMar>
            <w:hideMark/>
          </w:tcPr>
          <w:p w14:paraId="3E55CB3A" w14:textId="77777777" w:rsidR="00304866" w:rsidRDefault="00304866">
            <w:pPr>
              <w:rPr>
                <w:rFonts w:ascii="Arial" w:hAnsi="Arial" w:cs="Arial"/>
                <w:sz w:val="52"/>
                <w:szCs w:val="52"/>
              </w:rPr>
            </w:pPr>
          </w:p>
        </w:tc>
        <w:tc>
          <w:tcPr>
            <w:tcW w:w="8992" w:type="dxa"/>
            <w:gridSpan w:val="2"/>
            <w:vAlign w:val="bottom"/>
            <w:hideMark/>
          </w:tcPr>
          <w:p w14:paraId="7C623587" w14:textId="77777777" w:rsidR="00304866" w:rsidRDefault="00304866">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59 | </w:t>
            </w:r>
            <w:r>
              <w:rPr>
                <w:rFonts w:ascii="Arial" w:hAnsi="Arial" w:cs="Arial"/>
                <w:b/>
                <w:bCs/>
                <w:sz w:val="20"/>
                <w:szCs w:val="20"/>
              </w:rPr>
              <w:t>Director since:</w:t>
            </w:r>
            <w:r>
              <w:rPr>
                <w:rFonts w:ascii="Arial" w:hAnsi="Arial" w:cs="Arial"/>
                <w:sz w:val="20"/>
                <w:szCs w:val="20"/>
              </w:rPr>
              <w:t xml:space="preserve"> 2021 | </w:t>
            </w:r>
            <w:r>
              <w:rPr>
                <w:rFonts w:ascii="Arial" w:hAnsi="Arial" w:cs="Arial"/>
                <w:b/>
                <w:bCs/>
                <w:sz w:val="20"/>
                <w:szCs w:val="20"/>
              </w:rPr>
              <w:t>Birthplace:</w:t>
            </w:r>
            <w:r>
              <w:rPr>
                <w:rFonts w:ascii="Arial" w:hAnsi="Arial" w:cs="Arial"/>
                <w:sz w:val="20"/>
                <w:szCs w:val="20"/>
              </w:rPr>
              <w:t xml:space="preserve"> Cuba | </w:t>
            </w:r>
            <w:r>
              <w:rPr>
                <w:rFonts w:ascii="Arial" w:hAnsi="Arial" w:cs="Arial"/>
                <w:color w:val="0075C9"/>
                <w:sz w:val="20"/>
                <w:szCs w:val="20"/>
              </w:rPr>
              <w:t>Independent</w:t>
            </w:r>
          </w:p>
          <w:p w14:paraId="5EAC647E" w14:textId="77777777" w:rsidR="00304866" w:rsidRDefault="00304866">
            <w:pPr>
              <w:pStyle w:val="NormalWeb"/>
              <w:spacing w:before="0" w:beforeAutospacing="0" w:after="0" w:afterAutospacing="0"/>
              <w:rPr>
                <w:rFonts w:ascii="Arial" w:hAnsi="Arial" w:cs="Arial"/>
                <w:sz w:val="12"/>
                <w:szCs w:val="12"/>
              </w:rPr>
            </w:pPr>
            <w:r>
              <w:rPr>
                <w:rFonts w:ascii="Arial" w:hAnsi="Arial" w:cs="Arial"/>
                <w:sz w:val="12"/>
                <w:szCs w:val="12"/>
              </w:rPr>
              <w:t> </w:t>
            </w:r>
          </w:p>
          <w:p w14:paraId="169817B5" w14:textId="77777777" w:rsidR="00304866" w:rsidRDefault="00304866">
            <w:pPr>
              <w:pStyle w:val="NormalWeb"/>
              <w:spacing w:before="0" w:beforeAutospacing="0" w:after="0" w:afterAutospacing="0"/>
              <w:rPr>
                <w:rFonts w:ascii="Arial" w:hAnsi="Arial" w:cs="Arial"/>
                <w:sz w:val="12"/>
                <w:szCs w:val="12"/>
              </w:rPr>
            </w:pPr>
            <w:r>
              <w:rPr>
                <w:rFonts w:ascii="Arial" w:hAnsi="Arial" w:cs="Arial"/>
                <w:sz w:val="12"/>
                <w:szCs w:val="12"/>
              </w:rPr>
              <w:t> </w:t>
            </w:r>
          </w:p>
          <w:p w14:paraId="63D23DBD" w14:textId="21F52EF3" w:rsidR="00304866" w:rsidRDefault="00304866">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5616EB94" wp14:editId="2C8F306B">
                  <wp:extent cx="1884615" cy="274320"/>
                  <wp:effectExtent l="0" t="0" r="1905" b="0"/>
                  <wp:docPr id="825375754" name="Picture 34" descr="Mr. Rodriguez is experienced in finance, global business, leadership, and mergers and acquisitions. He also represents diversity on our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75754" name="Picture 34" descr="Mr. Rodriguez is experienced in finance, global business, leadership, and mergers and acquisitions. He also represents diversity on our board.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84615" cy="274320"/>
                          </a:xfrm>
                          <a:prstGeom prst="rect">
                            <a:avLst/>
                          </a:prstGeom>
                        </pic:spPr>
                      </pic:pic>
                    </a:graphicData>
                  </a:graphic>
                </wp:inline>
              </w:drawing>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p>
          <w:p w14:paraId="13976457" w14:textId="77777777" w:rsidR="00304866" w:rsidRDefault="00304866">
            <w:pPr>
              <w:pStyle w:val="NormalWeb"/>
              <w:spacing w:before="0" w:beforeAutospacing="0" w:after="20" w:afterAutospacing="0"/>
              <w:rPr>
                <w:rFonts w:ascii="Arial" w:hAnsi="Arial" w:cs="Arial"/>
              </w:rPr>
            </w:pPr>
            <w:r>
              <w:rPr>
                <w:rFonts w:ascii="Arial" w:hAnsi="Arial" w:cs="Arial"/>
              </w:rPr>
              <w:t> </w:t>
            </w:r>
          </w:p>
        </w:tc>
      </w:tr>
    </w:tbl>
    <w:p w14:paraId="06BC14BB" w14:textId="77777777" w:rsidR="00D246A9" w:rsidRDefault="00D246A9">
      <w:pPr>
        <w:rPr>
          <w:vanish/>
        </w:rPr>
      </w:pPr>
    </w:p>
    <w:tbl>
      <w:tblPr>
        <w:tblW w:w="9711" w:type="dxa"/>
        <w:tblInd w:w="548" w:type="dxa"/>
        <w:tblLayout w:type="fixed"/>
        <w:tblCellMar>
          <w:left w:w="0" w:type="dxa"/>
          <w:right w:w="0" w:type="dxa"/>
        </w:tblCellMar>
        <w:tblLook w:val="0600" w:firstRow="0" w:lastRow="0" w:firstColumn="0" w:lastColumn="0" w:noHBand="1" w:noVBand="1"/>
      </w:tblPr>
      <w:tblGrid>
        <w:gridCol w:w="5391"/>
        <w:gridCol w:w="4320"/>
      </w:tblGrid>
      <w:tr w:rsidR="00304866" w14:paraId="5226EC98" w14:textId="77777777" w:rsidTr="00304866">
        <w:trPr>
          <w:cantSplit/>
        </w:trPr>
        <w:tc>
          <w:tcPr>
            <w:tcW w:w="5391" w:type="dxa"/>
            <w:tcBorders>
              <w:bottom w:val="single" w:sz="6" w:space="0" w:color="999999"/>
            </w:tcBorders>
            <w:hideMark/>
          </w:tcPr>
          <w:p w14:paraId="5BCDD3D3" w14:textId="77777777" w:rsidR="00304866" w:rsidRPr="00306F7C" w:rsidRDefault="00304866">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02442005" w14:textId="77777777" w:rsidR="00304866" w:rsidRDefault="00304866">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Automatic Data Processing, Inc. (1999-present)</w:t>
            </w:r>
          </w:p>
          <w:p w14:paraId="0A8D158B" w14:textId="77777777" w:rsidR="00304866" w:rsidRDefault="00304866">
            <w:pPr>
              <w:pStyle w:val="NormalWeb"/>
              <w:spacing w:before="0" w:beforeAutospacing="0" w:after="0" w:afterAutospacing="0"/>
              <w:rPr>
                <w:rFonts w:ascii="Arial" w:hAnsi="Arial" w:cs="Arial"/>
                <w:sz w:val="18"/>
                <w:szCs w:val="18"/>
              </w:rPr>
            </w:pPr>
            <w:r>
              <w:rPr>
                <w:rFonts w:ascii="Arial" w:hAnsi="Arial" w:cs="Arial"/>
                <w:color w:val="0075C9"/>
                <w:sz w:val="18"/>
                <w:szCs w:val="18"/>
              </w:rPr>
              <w:t>(human capital management solutions provider)</w:t>
            </w:r>
          </w:p>
          <w:p w14:paraId="6180320A"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Chair (2023-present)</w:t>
            </w:r>
          </w:p>
          <w:p w14:paraId="0E0C917A"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Director (2011-2022)</w:t>
            </w:r>
          </w:p>
          <w:p w14:paraId="1335B670"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Chief Operating Officer, and Director (2011)</w:t>
            </w:r>
          </w:p>
          <w:p w14:paraId="0EA4943F"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 (1999-2011)</w:t>
            </w:r>
          </w:p>
          <w:p w14:paraId="5AD7F925" w14:textId="77777777" w:rsidR="00304866" w:rsidRDefault="00304866">
            <w:pPr>
              <w:pStyle w:val="NormalWeb"/>
              <w:spacing w:before="0" w:beforeAutospacing="0" w:after="0" w:afterAutospacing="0"/>
              <w:rPr>
                <w:rFonts w:ascii="Arial" w:hAnsi="Arial" w:cs="Arial"/>
                <w:sz w:val="18"/>
                <w:szCs w:val="18"/>
              </w:rPr>
            </w:pPr>
            <w:proofErr w:type="spellStart"/>
            <w:r>
              <w:rPr>
                <w:rFonts w:ascii="Arial" w:hAnsi="Arial" w:cs="Arial"/>
                <w:b/>
                <w:bCs/>
                <w:color w:val="0075C9"/>
                <w:sz w:val="18"/>
                <w:szCs w:val="18"/>
              </w:rPr>
              <w:t>Vincam</w:t>
            </w:r>
            <w:proofErr w:type="spellEnd"/>
            <w:r>
              <w:rPr>
                <w:rFonts w:ascii="Arial" w:hAnsi="Arial" w:cs="Arial"/>
                <w:b/>
                <w:bCs/>
                <w:color w:val="0075C9"/>
                <w:sz w:val="18"/>
                <w:szCs w:val="18"/>
              </w:rPr>
              <w:t xml:space="preserve"> Group, Inc. (1996-1999)</w:t>
            </w:r>
          </w:p>
          <w:p w14:paraId="2A7DEC7D" w14:textId="4A1F501B" w:rsidR="00304866" w:rsidRDefault="00304866">
            <w:pPr>
              <w:pStyle w:val="NormalWeb"/>
              <w:spacing w:before="0" w:beforeAutospacing="0" w:after="0" w:afterAutospacing="0"/>
              <w:rPr>
                <w:rFonts w:ascii="Arial" w:hAnsi="Arial" w:cs="Arial"/>
                <w:sz w:val="18"/>
                <w:szCs w:val="18"/>
              </w:rPr>
            </w:pPr>
            <w:r>
              <w:rPr>
                <w:rFonts w:ascii="Arial" w:hAnsi="Arial" w:cs="Arial"/>
                <w:i/>
                <w:iCs/>
                <w:sz w:val="18"/>
                <w:szCs w:val="18"/>
              </w:rPr>
              <w:t>(acquired</w:t>
            </w:r>
            <w:r w:rsidR="001B34E5">
              <w:rPr>
                <w:rFonts w:ascii="Arial" w:hAnsi="Arial" w:cs="Arial"/>
                <w:i/>
                <w:iCs/>
                <w:sz w:val="18"/>
                <w:szCs w:val="18"/>
              </w:rPr>
              <w:t xml:space="preserve"> </w:t>
            </w:r>
            <w:r>
              <w:rPr>
                <w:rFonts w:ascii="Arial" w:hAnsi="Arial" w:cs="Arial"/>
                <w:i/>
                <w:iCs/>
                <w:sz w:val="18"/>
                <w:szCs w:val="18"/>
              </w:rPr>
              <w:t>by Automatic Data Processing, Inc. in 1999)</w:t>
            </w:r>
          </w:p>
          <w:p w14:paraId="3BE64E67"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Finance and Chief Financial Officer (1997-1999)</w:t>
            </w:r>
          </w:p>
          <w:p w14:paraId="0D5A9AD7"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Vice President, Mergers &amp; Acquisitions (1996-1997)</w:t>
            </w:r>
          </w:p>
          <w:p w14:paraId="67F2E047"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Vice President, Operations (1996)</w:t>
            </w:r>
          </w:p>
          <w:p w14:paraId="6B92EA25" w14:textId="77777777" w:rsidR="00304866" w:rsidRDefault="00304866">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7E2D6BEC" w14:textId="77777777" w:rsidR="00304866" w:rsidRDefault="00304866">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2F923EE3"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Audit</w:t>
            </w:r>
          </w:p>
          <w:p w14:paraId="18835193"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Compensation (Chair)</w:t>
            </w:r>
          </w:p>
          <w:p w14:paraId="00DD3658" w14:textId="77777777" w:rsidR="00304866" w:rsidRDefault="00304866">
            <w:pPr>
              <w:pStyle w:val="NormalWeb"/>
              <w:spacing w:before="0" w:beforeAutospacing="0" w:after="0" w:afterAutospacing="0"/>
              <w:rPr>
                <w:rFonts w:ascii="Arial" w:hAnsi="Arial" w:cs="Arial"/>
                <w:sz w:val="20"/>
                <w:szCs w:val="20"/>
              </w:rPr>
            </w:pPr>
            <w:r>
              <w:rPr>
                <w:rFonts w:ascii="Arial" w:hAnsi="Arial" w:cs="Arial"/>
                <w:sz w:val="20"/>
                <w:szCs w:val="20"/>
              </w:rPr>
              <w:t> </w:t>
            </w:r>
          </w:p>
          <w:p w14:paraId="417A7B73" w14:textId="77777777" w:rsidR="00304866" w:rsidRDefault="00304866">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12DECE70"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Automatic Data Processing, Inc.</w:t>
            </w:r>
          </w:p>
          <w:p w14:paraId="08A24D99" w14:textId="77777777" w:rsidR="00304866" w:rsidRDefault="00304866">
            <w:pPr>
              <w:pStyle w:val="NormalWeb"/>
              <w:spacing w:before="0" w:beforeAutospacing="0" w:after="0" w:afterAutospacing="0"/>
              <w:rPr>
                <w:rFonts w:ascii="Arial" w:hAnsi="Arial" w:cs="Arial"/>
                <w:sz w:val="20"/>
                <w:szCs w:val="20"/>
              </w:rPr>
            </w:pPr>
            <w:r>
              <w:rPr>
                <w:rFonts w:ascii="Arial" w:hAnsi="Arial" w:cs="Arial"/>
                <w:sz w:val="20"/>
                <w:szCs w:val="20"/>
              </w:rPr>
              <w:t> </w:t>
            </w:r>
          </w:p>
          <w:p w14:paraId="55878ED1" w14:textId="77777777" w:rsidR="00304866" w:rsidRDefault="00304866">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4C7ED685" w14:textId="77777777" w:rsidR="00304866" w:rsidRDefault="00304866">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38F88A0D" w14:textId="77777777" w:rsidR="00304866" w:rsidRDefault="00304866">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tc>
      </w:tr>
    </w:tbl>
    <w:p w14:paraId="3A4F64ED" w14:textId="77777777" w:rsidR="00D246A9" w:rsidRPr="00306F7C" w:rsidRDefault="00D246A9">
      <w:pPr>
        <w:pStyle w:val="NormalWeb"/>
        <w:keepNext/>
        <w:spacing w:before="0" w:beforeAutospacing="0" w:after="0" w:afterAutospacing="0"/>
      </w:pPr>
      <w:r>
        <w:t> </w:t>
      </w:r>
    </w:p>
    <w:tbl>
      <w:tblPr>
        <w:tblW w:w="0" w:type="auto"/>
        <w:tblLayout w:type="fixed"/>
        <w:tblCellMar>
          <w:left w:w="0" w:type="dxa"/>
          <w:right w:w="0" w:type="dxa"/>
        </w:tblCellMar>
        <w:tblLook w:val="0600" w:firstRow="0" w:lastRow="0" w:firstColumn="0" w:lastColumn="0" w:noHBand="1" w:noVBand="1"/>
      </w:tblPr>
      <w:tblGrid>
        <w:gridCol w:w="305"/>
        <w:gridCol w:w="1500"/>
        <w:gridCol w:w="4675"/>
        <w:gridCol w:w="4320"/>
      </w:tblGrid>
      <w:tr w:rsidR="00D246A9" w14:paraId="624F9111" w14:textId="77777777" w:rsidTr="00304866">
        <w:tc>
          <w:tcPr>
            <w:tcW w:w="305" w:type="dxa"/>
            <w:vAlign w:val="center"/>
            <w:hideMark/>
          </w:tcPr>
          <w:p w14:paraId="12DFAC8C" w14:textId="77777777" w:rsidR="00D246A9" w:rsidRDefault="00D246A9"/>
        </w:tc>
        <w:tc>
          <w:tcPr>
            <w:tcW w:w="1500" w:type="dxa"/>
            <w:vAlign w:val="center"/>
            <w:hideMark/>
          </w:tcPr>
          <w:p w14:paraId="29EB1F2C" w14:textId="77777777" w:rsidR="00D246A9" w:rsidRDefault="00D246A9">
            <w:pPr>
              <w:rPr>
                <w:sz w:val="20"/>
              </w:rPr>
            </w:pPr>
          </w:p>
        </w:tc>
        <w:tc>
          <w:tcPr>
            <w:tcW w:w="4675" w:type="dxa"/>
            <w:vAlign w:val="center"/>
            <w:hideMark/>
          </w:tcPr>
          <w:p w14:paraId="3C17AA2F" w14:textId="77777777" w:rsidR="00D246A9" w:rsidRDefault="00D246A9">
            <w:pPr>
              <w:rPr>
                <w:sz w:val="20"/>
              </w:rPr>
            </w:pPr>
          </w:p>
        </w:tc>
        <w:tc>
          <w:tcPr>
            <w:tcW w:w="4320" w:type="dxa"/>
            <w:vAlign w:val="center"/>
            <w:hideMark/>
          </w:tcPr>
          <w:p w14:paraId="72E8A6B0" w14:textId="77777777" w:rsidR="00D246A9" w:rsidRDefault="00D246A9">
            <w:pPr>
              <w:rPr>
                <w:sz w:val="20"/>
              </w:rPr>
            </w:pPr>
          </w:p>
        </w:tc>
      </w:tr>
      <w:tr w:rsidR="00304866" w14:paraId="311E0C01" w14:textId="77777777" w:rsidTr="00304866">
        <w:trPr>
          <w:cantSplit/>
          <w:trHeight w:val="598"/>
        </w:trPr>
        <w:tc>
          <w:tcPr>
            <w:tcW w:w="1805" w:type="dxa"/>
            <w:gridSpan w:val="2"/>
            <w:vMerge w:val="restart"/>
            <w:tcMar>
              <w:top w:w="0" w:type="dxa"/>
              <w:left w:w="144" w:type="dxa"/>
              <w:bottom w:w="0" w:type="dxa"/>
              <w:right w:w="0" w:type="dxa"/>
            </w:tcMar>
            <w:hideMark/>
          </w:tcPr>
          <w:p w14:paraId="581B3D6F" w14:textId="7176FDD9" w:rsidR="00304866" w:rsidRDefault="00304866" w:rsidP="00304866">
            <w:pPr>
              <w:jc w:val="center"/>
              <w:rPr>
                <w:rFonts w:ascii="Arial" w:hAnsi="Arial" w:cs="Arial"/>
                <w:sz w:val="52"/>
                <w:szCs w:val="52"/>
              </w:rPr>
            </w:pPr>
            <w:r>
              <w:rPr>
                <w:rFonts w:ascii="Arial" w:hAnsi="Arial" w:cs="Arial"/>
                <w:noProof/>
                <w:sz w:val="52"/>
                <w:szCs w:val="52"/>
              </w:rPr>
              <w:drawing>
                <wp:inline distT="0" distB="0" distL="0" distR="0" wp14:anchorId="7CF55DC6" wp14:editId="74BA51B1">
                  <wp:extent cx="904667" cy="914400"/>
                  <wp:effectExtent l="0" t="0" r="0" b="0"/>
                  <wp:docPr id="302341593"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41593" name="Picture 35">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904667" cy="914400"/>
                          </a:xfrm>
                          <a:prstGeom prst="rect">
                            <a:avLst/>
                          </a:prstGeom>
                        </pic:spPr>
                      </pic:pic>
                    </a:graphicData>
                  </a:graphic>
                </wp:inline>
              </w:drawing>
            </w:r>
          </w:p>
        </w:tc>
        <w:tc>
          <w:tcPr>
            <w:tcW w:w="8995" w:type="dxa"/>
            <w:gridSpan w:val="2"/>
            <w:vAlign w:val="bottom"/>
            <w:hideMark/>
          </w:tcPr>
          <w:p w14:paraId="2077DB20" w14:textId="6BECE19A" w:rsidR="00304866" w:rsidRPr="00306F7C" w:rsidRDefault="00304866" w:rsidP="00304866">
            <w:pPr>
              <w:rPr>
                <w:rFonts w:ascii="Arial" w:hAnsi="Arial" w:cs="Arial"/>
                <w:sz w:val="52"/>
                <w:szCs w:val="52"/>
              </w:rPr>
            </w:pPr>
            <w:r>
              <w:rPr>
                <w:rFonts w:ascii="Arial" w:hAnsi="Arial" w:cs="Arial"/>
                <w:color w:val="595959"/>
                <w:sz w:val="52"/>
                <w:szCs w:val="52"/>
              </w:rPr>
              <w:t>Charles W. Scharf</w:t>
            </w:r>
          </w:p>
        </w:tc>
      </w:tr>
      <w:tr w:rsidR="00304866" w14:paraId="0C4AEF4B" w14:textId="77777777" w:rsidTr="00304866">
        <w:trPr>
          <w:cantSplit/>
        </w:trPr>
        <w:tc>
          <w:tcPr>
            <w:tcW w:w="1805" w:type="dxa"/>
            <w:gridSpan w:val="2"/>
            <w:vMerge/>
            <w:tcMar>
              <w:top w:w="0" w:type="dxa"/>
              <w:left w:w="144" w:type="dxa"/>
              <w:bottom w:w="0" w:type="dxa"/>
              <w:right w:w="0" w:type="dxa"/>
            </w:tcMar>
            <w:hideMark/>
          </w:tcPr>
          <w:p w14:paraId="290A71B2" w14:textId="77777777" w:rsidR="00304866" w:rsidRDefault="00304866">
            <w:pPr>
              <w:rPr>
                <w:rFonts w:ascii="Arial" w:hAnsi="Arial" w:cs="Arial"/>
                <w:sz w:val="52"/>
                <w:szCs w:val="52"/>
              </w:rPr>
            </w:pPr>
          </w:p>
        </w:tc>
        <w:tc>
          <w:tcPr>
            <w:tcW w:w="8995" w:type="dxa"/>
            <w:gridSpan w:val="2"/>
            <w:vAlign w:val="bottom"/>
            <w:hideMark/>
          </w:tcPr>
          <w:p w14:paraId="10B87071" w14:textId="77777777" w:rsidR="00304866" w:rsidRDefault="00304866">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58 | </w:t>
            </w:r>
            <w:r>
              <w:rPr>
                <w:rFonts w:ascii="Arial" w:hAnsi="Arial" w:cs="Arial"/>
                <w:b/>
                <w:bCs/>
                <w:sz w:val="20"/>
                <w:szCs w:val="20"/>
              </w:rPr>
              <w:t>Director Since:</w:t>
            </w:r>
            <w:r>
              <w:rPr>
                <w:rFonts w:ascii="Arial" w:hAnsi="Arial" w:cs="Arial"/>
                <w:sz w:val="20"/>
                <w:szCs w:val="20"/>
              </w:rPr>
              <w:t xml:space="preserve"> 2014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0EBE4A10" w14:textId="77777777" w:rsidR="00304866" w:rsidRDefault="00304866">
            <w:pPr>
              <w:pStyle w:val="NormalWeb"/>
              <w:spacing w:before="0" w:beforeAutospacing="0" w:after="0" w:afterAutospacing="0"/>
              <w:rPr>
                <w:rFonts w:ascii="Arial" w:hAnsi="Arial" w:cs="Arial"/>
                <w:sz w:val="12"/>
                <w:szCs w:val="12"/>
              </w:rPr>
            </w:pPr>
            <w:r>
              <w:rPr>
                <w:rFonts w:ascii="Arial" w:hAnsi="Arial" w:cs="Arial"/>
                <w:sz w:val="12"/>
                <w:szCs w:val="12"/>
              </w:rPr>
              <w:t> </w:t>
            </w:r>
          </w:p>
          <w:p w14:paraId="352C0554" w14:textId="77777777" w:rsidR="00304866" w:rsidRDefault="00304866">
            <w:pPr>
              <w:pStyle w:val="NormalWeb"/>
              <w:spacing w:before="0" w:beforeAutospacing="0" w:after="0" w:afterAutospacing="0"/>
              <w:rPr>
                <w:rFonts w:ascii="Arial" w:hAnsi="Arial" w:cs="Arial"/>
                <w:sz w:val="12"/>
                <w:szCs w:val="12"/>
              </w:rPr>
            </w:pPr>
            <w:r>
              <w:rPr>
                <w:rFonts w:ascii="Arial" w:hAnsi="Arial" w:cs="Arial"/>
                <w:sz w:val="12"/>
                <w:szCs w:val="12"/>
              </w:rPr>
              <w:t> </w:t>
            </w:r>
          </w:p>
          <w:p w14:paraId="74D54639" w14:textId="17CCF2E7" w:rsidR="00304866" w:rsidRDefault="00304866">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2C8F3600" wp14:editId="0A48F943">
                  <wp:extent cx="2087571" cy="274320"/>
                  <wp:effectExtent l="0" t="0" r="8255" b="0"/>
                  <wp:docPr id="169432829" name="Picture 36" descr="Mr. Scharf has experience in global business, leadership, mergers and acquisitions, sales and marketing, and techn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2829" name="Picture 36" descr="Mr. Scharf has experience in global business, leadership, mergers and acquisitions, sales and marketing, and technology.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87571" cy="274320"/>
                          </a:xfrm>
                          <a:prstGeom prst="rect">
                            <a:avLst/>
                          </a:prstGeom>
                        </pic:spPr>
                      </pic:pic>
                    </a:graphicData>
                  </a:graphic>
                </wp:inline>
              </w:drawing>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p>
          <w:p w14:paraId="34F3E953" w14:textId="77777777" w:rsidR="00304866" w:rsidRDefault="00304866">
            <w:pPr>
              <w:pStyle w:val="NormalWeb"/>
              <w:spacing w:before="0" w:beforeAutospacing="0" w:after="20" w:afterAutospacing="0"/>
              <w:rPr>
                <w:rFonts w:ascii="Arial" w:hAnsi="Arial" w:cs="Arial"/>
              </w:rPr>
            </w:pPr>
            <w:r>
              <w:rPr>
                <w:rFonts w:ascii="Arial" w:hAnsi="Arial" w:cs="Arial"/>
              </w:rPr>
              <w:t> </w:t>
            </w:r>
          </w:p>
        </w:tc>
      </w:tr>
    </w:tbl>
    <w:p w14:paraId="31CAD76E" w14:textId="77777777" w:rsidR="00D246A9" w:rsidRDefault="00D246A9">
      <w:pPr>
        <w:rPr>
          <w:vanish/>
        </w:rPr>
      </w:pPr>
    </w:p>
    <w:tbl>
      <w:tblPr>
        <w:tblW w:w="9926" w:type="dxa"/>
        <w:tblInd w:w="442" w:type="dxa"/>
        <w:tblLayout w:type="fixed"/>
        <w:tblCellMar>
          <w:left w:w="0" w:type="dxa"/>
          <w:right w:w="0" w:type="dxa"/>
        </w:tblCellMar>
        <w:tblLook w:val="0600" w:firstRow="0" w:lastRow="0" w:firstColumn="0" w:lastColumn="0" w:noHBand="1" w:noVBand="1"/>
      </w:tblPr>
      <w:tblGrid>
        <w:gridCol w:w="5606"/>
        <w:gridCol w:w="4320"/>
      </w:tblGrid>
      <w:tr w:rsidR="00304866" w14:paraId="4CC4939F" w14:textId="77777777" w:rsidTr="00304866">
        <w:trPr>
          <w:cantSplit/>
        </w:trPr>
        <w:tc>
          <w:tcPr>
            <w:tcW w:w="5606" w:type="dxa"/>
            <w:tcBorders>
              <w:bottom w:val="single" w:sz="6" w:space="0" w:color="999999"/>
            </w:tcBorders>
            <w:hideMark/>
          </w:tcPr>
          <w:p w14:paraId="1DD7CF0B" w14:textId="77777777" w:rsidR="00304866" w:rsidRPr="00306F7C" w:rsidRDefault="00304866">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7B2E9D54" w14:textId="77777777" w:rsidR="00304866" w:rsidRDefault="00304866">
            <w:pPr>
              <w:pStyle w:val="NormalWeb"/>
              <w:spacing w:before="0" w:beforeAutospacing="0" w:after="0" w:afterAutospacing="0"/>
              <w:rPr>
                <w:rFonts w:ascii="Arial" w:hAnsi="Arial" w:cs="Arial"/>
                <w:sz w:val="18"/>
                <w:szCs w:val="18"/>
              </w:rPr>
            </w:pPr>
            <w:r>
              <w:rPr>
                <w:rFonts w:ascii="Arial" w:hAnsi="Arial" w:cs="Arial"/>
                <w:b/>
                <w:bCs/>
                <w:color w:val="0075C9"/>
                <w:sz w:val="18"/>
                <w:szCs w:val="18"/>
              </w:rPr>
              <w:t>Wells Fargo &amp; Company (2019-present)</w:t>
            </w:r>
          </w:p>
          <w:p w14:paraId="46569288" w14:textId="77777777" w:rsidR="00304866" w:rsidRDefault="00304866">
            <w:pPr>
              <w:pStyle w:val="NormalWeb"/>
              <w:spacing w:before="0" w:beforeAutospacing="0" w:after="0" w:afterAutospacing="0"/>
              <w:rPr>
                <w:rFonts w:ascii="Arial" w:hAnsi="Arial" w:cs="Arial"/>
                <w:sz w:val="18"/>
                <w:szCs w:val="18"/>
              </w:rPr>
            </w:pPr>
            <w:r>
              <w:rPr>
                <w:rFonts w:ascii="Arial" w:hAnsi="Arial" w:cs="Arial"/>
                <w:color w:val="0075C9"/>
                <w:sz w:val="18"/>
                <w:szCs w:val="18"/>
              </w:rPr>
              <w:t>(banking and financial services company)</w:t>
            </w:r>
          </w:p>
          <w:p w14:paraId="02403E5B"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President, and Director (2019-present)</w:t>
            </w:r>
          </w:p>
          <w:p w14:paraId="75A4DF74" w14:textId="77777777" w:rsidR="00304866" w:rsidRDefault="00304866">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The Bank of New York Mellon Corporation (2017-2019)</w:t>
            </w:r>
          </w:p>
          <w:p w14:paraId="511D6066"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Chairman and Chief Executive Officer (2018-2019)</w:t>
            </w:r>
          </w:p>
          <w:p w14:paraId="6F08122D"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Director (2017)</w:t>
            </w:r>
          </w:p>
          <w:p w14:paraId="23AE427C" w14:textId="77777777" w:rsidR="00304866" w:rsidRDefault="00304866">
            <w:pPr>
              <w:pStyle w:val="NormalWeb"/>
              <w:spacing w:before="0" w:beforeAutospacing="0" w:after="0" w:afterAutospacing="0"/>
              <w:rPr>
                <w:rFonts w:ascii="Arial" w:hAnsi="Arial" w:cs="Arial"/>
                <w:sz w:val="18"/>
                <w:szCs w:val="18"/>
              </w:rPr>
            </w:pPr>
            <w:r>
              <w:rPr>
                <w:rFonts w:ascii="Arial" w:hAnsi="Arial" w:cs="Arial"/>
                <w:b/>
                <w:bCs/>
                <w:color w:val="0075C9"/>
                <w:sz w:val="18"/>
                <w:szCs w:val="18"/>
              </w:rPr>
              <w:t>Visa Inc. (2012-2016)</w:t>
            </w:r>
          </w:p>
          <w:p w14:paraId="6F394584"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Director (2012-2016)</w:t>
            </w:r>
          </w:p>
          <w:p w14:paraId="032CDB2F" w14:textId="77777777" w:rsidR="00304866" w:rsidRDefault="00304866">
            <w:pPr>
              <w:pStyle w:val="NormalWeb"/>
              <w:spacing w:before="0" w:beforeAutospacing="0" w:after="0" w:afterAutospacing="0"/>
              <w:rPr>
                <w:rFonts w:ascii="Arial" w:hAnsi="Arial" w:cs="Arial"/>
                <w:sz w:val="18"/>
                <w:szCs w:val="18"/>
              </w:rPr>
            </w:pPr>
            <w:r>
              <w:rPr>
                <w:rFonts w:ascii="Arial" w:hAnsi="Arial" w:cs="Arial"/>
                <w:b/>
                <w:bCs/>
                <w:color w:val="0075C9"/>
                <w:sz w:val="18"/>
                <w:szCs w:val="18"/>
              </w:rPr>
              <w:t>JPMorgan Chase &amp; Co. (2004-2012)</w:t>
            </w:r>
          </w:p>
          <w:p w14:paraId="6AE141DC"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Managing Director, One Equity Partners, private investment arm (2011-2012)</w:t>
            </w:r>
          </w:p>
          <w:p w14:paraId="5EA88012"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of Retail Financial Services (2004-2011)</w:t>
            </w:r>
          </w:p>
          <w:p w14:paraId="014619B8" w14:textId="77777777" w:rsidR="00304866" w:rsidRDefault="00304866">
            <w:pPr>
              <w:pStyle w:val="NormalWeb"/>
              <w:spacing w:before="0" w:beforeAutospacing="0" w:after="0" w:afterAutospacing="0"/>
              <w:rPr>
                <w:rFonts w:ascii="Arial" w:hAnsi="Arial" w:cs="Arial"/>
                <w:sz w:val="18"/>
                <w:szCs w:val="18"/>
              </w:rPr>
            </w:pPr>
            <w:proofErr w:type="spellStart"/>
            <w:r>
              <w:rPr>
                <w:rFonts w:ascii="Arial" w:hAnsi="Arial" w:cs="Arial"/>
                <w:b/>
                <w:bCs/>
                <w:color w:val="0075C9"/>
                <w:sz w:val="18"/>
                <w:szCs w:val="18"/>
              </w:rPr>
              <w:t>Bank</w:t>
            </w:r>
            <w:proofErr w:type="spellEnd"/>
            <w:r>
              <w:rPr>
                <w:rFonts w:ascii="Arial" w:hAnsi="Arial" w:cs="Arial"/>
                <w:b/>
                <w:bCs/>
                <w:color w:val="0075C9"/>
                <w:sz w:val="18"/>
                <w:szCs w:val="18"/>
              </w:rPr>
              <w:t xml:space="preserve"> One Corporation (2000-2004)</w:t>
            </w:r>
          </w:p>
          <w:p w14:paraId="79555FE3"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of the Retail Division (2002-2004)</w:t>
            </w:r>
          </w:p>
          <w:p w14:paraId="5B4C8292"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Financial Officer (2000-2002)</w:t>
            </w:r>
          </w:p>
          <w:p w14:paraId="213A1134" w14:textId="77777777" w:rsidR="00304866" w:rsidRDefault="00304866">
            <w:pPr>
              <w:pStyle w:val="NormalWeb"/>
              <w:spacing w:before="0" w:beforeAutospacing="0" w:after="0" w:afterAutospacing="0"/>
              <w:rPr>
                <w:rFonts w:ascii="Arial" w:hAnsi="Arial" w:cs="Arial"/>
                <w:sz w:val="18"/>
                <w:szCs w:val="18"/>
              </w:rPr>
            </w:pPr>
            <w:r>
              <w:rPr>
                <w:rFonts w:ascii="Arial" w:hAnsi="Arial" w:cs="Arial"/>
                <w:b/>
                <w:bCs/>
                <w:color w:val="0075C9"/>
                <w:sz w:val="18"/>
                <w:szCs w:val="18"/>
              </w:rPr>
              <w:t>Citigroup Inc. (1999-2000)</w:t>
            </w:r>
          </w:p>
          <w:p w14:paraId="4BB2BC86"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Financial Officer of the Global Corporate and Investment Bank Division (1999-2000)</w:t>
            </w:r>
          </w:p>
          <w:p w14:paraId="22F74935" w14:textId="77777777" w:rsidR="00304866" w:rsidRDefault="00304866">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03C038A5" w14:textId="77777777" w:rsidR="00304866" w:rsidRDefault="00304866">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0049C2E0"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Compensation</w:t>
            </w:r>
          </w:p>
          <w:p w14:paraId="28C5AFF1"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Governance and Nominating</w:t>
            </w:r>
          </w:p>
          <w:p w14:paraId="42FB7C9B" w14:textId="77777777" w:rsidR="00304866" w:rsidRDefault="00304866">
            <w:pPr>
              <w:pStyle w:val="NormalWeb"/>
              <w:spacing w:before="0" w:beforeAutospacing="0" w:after="0" w:afterAutospacing="0"/>
              <w:rPr>
                <w:rFonts w:ascii="Arial" w:hAnsi="Arial" w:cs="Arial"/>
                <w:sz w:val="20"/>
                <w:szCs w:val="20"/>
              </w:rPr>
            </w:pPr>
            <w:r>
              <w:rPr>
                <w:rFonts w:ascii="Arial" w:hAnsi="Arial" w:cs="Arial"/>
                <w:sz w:val="20"/>
                <w:szCs w:val="20"/>
              </w:rPr>
              <w:t> </w:t>
            </w:r>
          </w:p>
          <w:p w14:paraId="44E8162F" w14:textId="77777777" w:rsidR="00304866" w:rsidRDefault="00304866">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16A7D4AE" w14:textId="77777777" w:rsidR="00304866" w:rsidRDefault="00304866">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Wells Fargo &amp; Company</w:t>
            </w:r>
          </w:p>
          <w:p w14:paraId="3F96D540" w14:textId="77777777" w:rsidR="00304866" w:rsidRDefault="00304866">
            <w:pPr>
              <w:pStyle w:val="NormalWeb"/>
              <w:spacing w:before="0" w:beforeAutospacing="0" w:after="0" w:afterAutospacing="0"/>
              <w:rPr>
                <w:rFonts w:ascii="Arial" w:hAnsi="Arial" w:cs="Arial"/>
                <w:sz w:val="20"/>
                <w:szCs w:val="20"/>
              </w:rPr>
            </w:pPr>
            <w:r>
              <w:rPr>
                <w:rFonts w:ascii="Arial" w:hAnsi="Arial" w:cs="Arial"/>
                <w:sz w:val="20"/>
                <w:szCs w:val="20"/>
              </w:rPr>
              <w:t> </w:t>
            </w:r>
          </w:p>
          <w:p w14:paraId="187FE161" w14:textId="77777777" w:rsidR="00304866" w:rsidRDefault="00304866">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7CF5F3A4" w14:textId="77777777" w:rsidR="00304866" w:rsidRDefault="00304866">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0290DDA2" w14:textId="77777777" w:rsidR="00304866" w:rsidRDefault="00304866">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The Bank of New York Mellon Corporation</w:t>
            </w:r>
          </w:p>
        </w:tc>
      </w:tr>
    </w:tbl>
    <w:p w14:paraId="2C602A19" w14:textId="77777777" w:rsidR="00D246A9" w:rsidRPr="00306F7C" w:rsidRDefault="00D246A9">
      <w:pPr>
        <w:pStyle w:val="NormalWeb"/>
        <w:keepNext/>
        <w:spacing w:before="0" w:beforeAutospacing="0" w:after="0" w:afterAutospacing="0"/>
      </w:pPr>
      <w:r>
        <w:t> </w:t>
      </w:r>
    </w:p>
    <w:p w14:paraId="79A1B52F" w14:textId="10090367" w:rsidR="003C471E" w:rsidRPr="00306F7C" w:rsidRDefault="003C471E">
      <w:pPr>
        <w:pStyle w:val="NormalWeb"/>
        <w:spacing w:before="270" w:beforeAutospacing="0" w:after="0" w:afterAutospacing="0"/>
        <w:rPr>
          <w:sz w:val="2"/>
          <w:szCs w:val="2"/>
        </w:rPr>
      </w:pPr>
      <w:r>
        <w:rPr>
          <w:noProof/>
          <w:sz w:val="2"/>
          <w:szCs w:val="2"/>
        </w:rPr>
        <w:drawing>
          <wp:anchor distT="0" distB="0" distL="114300" distR="114300" simplePos="0" relativeHeight="251675647" behindDoc="0" locked="0" layoutInCell="1" allowOverlap="1" wp14:anchorId="0330B2AD" wp14:editId="4416336B">
            <wp:simplePos x="0" y="0"/>
            <wp:positionH relativeFrom="column">
              <wp:posOffset>0</wp:posOffset>
            </wp:positionH>
            <wp:positionV relativeFrom="paragraph">
              <wp:posOffset>1681480</wp:posOffset>
            </wp:positionV>
            <wp:extent cx="6851650" cy="368300"/>
            <wp:effectExtent l="0" t="0" r="6350" b="0"/>
            <wp:wrapNone/>
            <wp:docPr id="891834057"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34057" name="Picture 3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165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6A9">
        <w:rPr>
          <w:sz w:val="2"/>
          <w:szCs w:val="2"/>
        </w:rPr>
        <w:t> </w:t>
      </w:r>
    </w:p>
    <w:p w14:paraId="02075583" w14:textId="77777777" w:rsidR="00D246A9" w:rsidRPr="00F749EE" w:rsidRDefault="00D246A9" w:rsidP="00F749EE">
      <w:pPr>
        <w:pStyle w:val="NormalWeb"/>
        <w:keepNext/>
        <w:pageBreakBefore/>
        <w:spacing w:before="0" w:beforeAutospacing="0" w:after="0" w:afterAutospacing="0"/>
        <w:rPr>
          <w:sz w:val="2"/>
          <w:szCs w:val="36"/>
        </w:rPr>
      </w:pPr>
      <w:r w:rsidRPr="00F749EE">
        <w:rPr>
          <w:sz w:val="2"/>
          <w:szCs w:val="36"/>
        </w:rPr>
        <w:lastRenderedPageBreak/>
        <w:t> </w:t>
      </w:r>
    </w:p>
    <w:tbl>
      <w:tblPr>
        <w:tblW w:w="0" w:type="auto"/>
        <w:tblLayout w:type="fixed"/>
        <w:tblCellMar>
          <w:left w:w="0" w:type="dxa"/>
          <w:right w:w="0" w:type="dxa"/>
        </w:tblCellMar>
        <w:tblLook w:val="0600" w:firstRow="0" w:lastRow="0" w:firstColumn="0" w:lastColumn="0" w:noHBand="1" w:noVBand="1"/>
      </w:tblPr>
      <w:tblGrid>
        <w:gridCol w:w="306"/>
        <w:gridCol w:w="1509"/>
        <w:gridCol w:w="4449"/>
        <w:gridCol w:w="4536"/>
      </w:tblGrid>
      <w:tr w:rsidR="00D246A9" w14:paraId="0F293187" w14:textId="77777777" w:rsidTr="00D85CBE">
        <w:tc>
          <w:tcPr>
            <w:tcW w:w="306" w:type="dxa"/>
            <w:vAlign w:val="center"/>
            <w:hideMark/>
          </w:tcPr>
          <w:p w14:paraId="6E682E45" w14:textId="77777777" w:rsidR="00D246A9" w:rsidRDefault="00D246A9">
            <w:pPr>
              <w:rPr>
                <w:sz w:val="36"/>
                <w:szCs w:val="36"/>
              </w:rPr>
            </w:pPr>
          </w:p>
        </w:tc>
        <w:tc>
          <w:tcPr>
            <w:tcW w:w="1509" w:type="dxa"/>
            <w:vAlign w:val="center"/>
            <w:hideMark/>
          </w:tcPr>
          <w:p w14:paraId="2DC4094D" w14:textId="77777777" w:rsidR="00D246A9" w:rsidRDefault="00D246A9">
            <w:pPr>
              <w:rPr>
                <w:sz w:val="20"/>
              </w:rPr>
            </w:pPr>
          </w:p>
        </w:tc>
        <w:tc>
          <w:tcPr>
            <w:tcW w:w="4449" w:type="dxa"/>
            <w:vAlign w:val="center"/>
            <w:hideMark/>
          </w:tcPr>
          <w:p w14:paraId="54A59FAB" w14:textId="77777777" w:rsidR="00D246A9" w:rsidRDefault="00D246A9">
            <w:pPr>
              <w:rPr>
                <w:sz w:val="20"/>
              </w:rPr>
            </w:pPr>
          </w:p>
        </w:tc>
        <w:tc>
          <w:tcPr>
            <w:tcW w:w="4536" w:type="dxa"/>
            <w:vAlign w:val="center"/>
            <w:hideMark/>
          </w:tcPr>
          <w:p w14:paraId="70EB5502" w14:textId="77777777" w:rsidR="00D246A9" w:rsidRDefault="00D246A9">
            <w:pPr>
              <w:rPr>
                <w:sz w:val="20"/>
              </w:rPr>
            </w:pPr>
          </w:p>
        </w:tc>
      </w:tr>
      <w:tr w:rsidR="00D85CBE" w14:paraId="63C7A538" w14:textId="77777777" w:rsidTr="0023290B">
        <w:trPr>
          <w:cantSplit/>
          <w:trHeight w:val="598"/>
        </w:trPr>
        <w:tc>
          <w:tcPr>
            <w:tcW w:w="1815" w:type="dxa"/>
            <w:gridSpan w:val="2"/>
            <w:vMerge w:val="restart"/>
            <w:tcMar>
              <w:top w:w="0" w:type="dxa"/>
              <w:left w:w="144" w:type="dxa"/>
              <w:bottom w:w="0" w:type="dxa"/>
              <w:right w:w="0" w:type="dxa"/>
            </w:tcMar>
            <w:hideMark/>
          </w:tcPr>
          <w:p w14:paraId="3BDB0D5D" w14:textId="78E4D046" w:rsidR="00D85CBE" w:rsidRDefault="00D85CBE" w:rsidP="00D85CBE">
            <w:pPr>
              <w:jc w:val="center"/>
              <w:rPr>
                <w:rFonts w:ascii="Arial" w:hAnsi="Arial" w:cs="Arial"/>
                <w:sz w:val="52"/>
                <w:szCs w:val="52"/>
              </w:rPr>
            </w:pPr>
            <w:r>
              <w:rPr>
                <w:rFonts w:ascii="Arial" w:hAnsi="Arial" w:cs="Arial"/>
                <w:noProof/>
                <w:sz w:val="52"/>
                <w:szCs w:val="52"/>
              </w:rPr>
              <w:drawing>
                <wp:inline distT="0" distB="0" distL="0" distR="0" wp14:anchorId="7D170696" wp14:editId="3763A55B">
                  <wp:extent cx="914400" cy="914400"/>
                  <wp:effectExtent l="0" t="0" r="0" b="0"/>
                  <wp:docPr id="1246812761"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12761" name="Picture 37">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8985" w:type="dxa"/>
            <w:gridSpan w:val="2"/>
            <w:vAlign w:val="bottom"/>
            <w:hideMark/>
          </w:tcPr>
          <w:p w14:paraId="58A241EA" w14:textId="502786C7" w:rsidR="00D85CBE" w:rsidRPr="00306F7C" w:rsidRDefault="00D85CBE" w:rsidP="00D85CBE">
            <w:pPr>
              <w:rPr>
                <w:rFonts w:ascii="Arial" w:hAnsi="Arial" w:cs="Arial"/>
                <w:sz w:val="52"/>
                <w:szCs w:val="52"/>
              </w:rPr>
            </w:pPr>
            <w:r>
              <w:rPr>
                <w:rFonts w:ascii="Arial" w:hAnsi="Arial" w:cs="Arial"/>
                <w:color w:val="595959"/>
                <w:sz w:val="52"/>
                <w:szCs w:val="52"/>
              </w:rPr>
              <w:t>John W. Stanton</w:t>
            </w:r>
          </w:p>
        </w:tc>
      </w:tr>
      <w:tr w:rsidR="00D85CBE" w14:paraId="77EE72AA" w14:textId="77777777" w:rsidTr="00D85CBE">
        <w:trPr>
          <w:cantSplit/>
        </w:trPr>
        <w:tc>
          <w:tcPr>
            <w:tcW w:w="1815" w:type="dxa"/>
            <w:gridSpan w:val="2"/>
            <w:vMerge/>
            <w:tcMar>
              <w:top w:w="0" w:type="dxa"/>
              <w:left w:w="144" w:type="dxa"/>
              <w:bottom w:w="0" w:type="dxa"/>
              <w:right w:w="0" w:type="dxa"/>
            </w:tcMar>
            <w:hideMark/>
          </w:tcPr>
          <w:p w14:paraId="43A83AB6" w14:textId="77777777" w:rsidR="00D85CBE" w:rsidRDefault="00D85CBE">
            <w:pPr>
              <w:rPr>
                <w:rFonts w:ascii="Arial" w:hAnsi="Arial" w:cs="Arial"/>
                <w:sz w:val="52"/>
                <w:szCs w:val="52"/>
              </w:rPr>
            </w:pPr>
          </w:p>
        </w:tc>
        <w:tc>
          <w:tcPr>
            <w:tcW w:w="8985" w:type="dxa"/>
            <w:gridSpan w:val="2"/>
            <w:vAlign w:val="bottom"/>
            <w:hideMark/>
          </w:tcPr>
          <w:p w14:paraId="27E126DE" w14:textId="77777777" w:rsidR="00D85CBE" w:rsidRDefault="00D85CBE">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68 | </w:t>
            </w:r>
            <w:r>
              <w:rPr>
                <w:rFonts w:ascii="Arial" w:hAnsi="Arial" w:cs="Arial"/>
                <w:b/>
                <w:bCs/>
                <w:sz w:val="20"/>
                <w:szCs w:val="20"/>
              </w:rPr>
              <w:t>Director Since:</w:t>
            </w:r>
            <w:r>
              <w:rPr>
                <w:rFonts w:ascii="Arial" w:hAnsi="Arial" w:cs="Arial"/>
                <w:sz w:val="20"/>
                <w:szCs w:val="20"/>
              </w:rPr>
              <w:t xml:space="preserve"> 2014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039CE8D2" w14:textId="77777777" w:rsidR="00D85CBE" w:rsidRDefault="00D85CBE">
            <w:pPr>
              <w:pStyle w:val="NormalWeb"/>
              <w:spacing w:before="0" w:beforeAutospacing="0" w:after="0" w:afterAutospacing="0"/>
              <w:rPr>
                <w:rFonts w:ascii="Arial" w:hAnsi="Arial" w:cs="Arial"/>
                <w:sz w:val="12"/>
                <w:szCs w:val="12"/>
              </w:rPr>
            </w:pPr>
            <w:r>
              <w:rPr>
                <w:rFonts w:ascii="Arial" w:hAnsi="Arial" w:cs="Arial"/>
                <w:sz w:val="12"/>
                <w:szCs w:val="12"/>
              </w:rPr>
              <w:t> </w:t>
            </w:r>
          </w:p>
          <w:p w14:paraId="359C6F6C" w14:textId="77777777" w:rsidR="00D85CBE" w:rsidRDefault="00D85CBE">
            <w:pPr>
              <w:pStyle w:val="NormalWeb"/>
              <w:spacing w:before="0" w:beforeAutospacing="0" w:after="0" w:afterAutospacing="0"/>
              <w:rPr>
                <w:rFonts w:ascii="Arial" w:hAnsi="Arial" w:cs="Arial"/>
                <w:sz w:val="12"/>
                <w:szCs w:val="12"/>
              </w:rPr>
            </w:pPr>
            <w:r>
              <w:rPr>
                <w:rFonts w:ascii="Arial" w:hAnsi="Arial" w:cs="Arial"/>
                <w:sz w:val="12"/>
                <w:szCs w:val="12"/>
              </w:rPr>
              <w:t> </w:t>
            </w:r>
          </w:p>
          <w:p w14:paraId="4D6B3F60" w14:textId="5605F335" w:rsidR="00D85CBE" w:rsidRDefault="00D85CBE">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3D50286C" wp14:editId="176A51BE">
                  <wp:extent cx="1769698" cy="274320"/>
                  <wp:effectExtent l="0" t="0" r="2540" b="0"/>
                  <wp:docPr id="1189834282" name="Picture 38" descr="Mr. Stanton is experienced in global business, leadership, mergers and acquisitions, and techn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34282" name="Picture 38" descr="Mr. Stanton is experienced in global business, leadership, mergers and acquisitions, and technology. "/>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69698" cy="274320"/>
                          </a:xfrm>
                          <a:prstGeom prst="rect">
                            <a:avLst/>
                          </a:prstGeom>
                        </pic:spPr>
                      </pic:pic>
                    </a:graphicData>
                  </a:graphic>
                </wp:inline>
              </w:drawing>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p>
          <w:p w14:paraId="266B281C" w14:textId="77777777" w:rsidR="00D85CBE" w:rsidRDefault="00D85CBE">
            <w:pPr>
              <w:pStyle w:val="NormalWeb"/>
              <w:spacing w:before="0" w:beforeAutospacing="0" w:after="20" w:afterAutospacing="0"/>
              <w:rPr>
                <w:rFonts w:ascii="Arial" w:hAnsi="Arial" w:cs="Arial"/>
              </w:rPr>
            </w:pPr>
            <w:r>
              <w:rPr>
                <w:rFonts w:ascii="Arial" w:hAnsi="Arial" w:cs="Arial"/>
              </w:rPr>
              <w:t> </w:t>
            </w:r>
          </w:p>
        </w:tc>
      </w:tr>
    </w:tbl>
    <w:p w14:paraId="11B1E251" w14:textId="77777777" w:rsidR="00D246A9" w:rsidRDefault="00D246A9">
      <w:pPr>
        <w:rPr>
          <w:vanish/>
        </w:rPr>
      </w:pPr>
    </w:p>
    <w:tbl>
      <w:tblPr>
        <w:tblW w:w="9561" w:type="dxa"/>
        <w:tblInd w:w="622" w:type="dxa"/>
        <w:tblLayout w:type="fixed"/>
        <w:tblCellMar>
          <w:left w:w="0" w:type="dxa"/>
          <w:right w:w="0" w:type="dxa"/>
        </w:tblCellMar>
        <w:tblLook w:val="0600" w:firstRow="0" w:lastRow="0" w:firstColumn="0" w:lastColumn="0" w:noHBand="1" w:noVBand="1"/>
      </w:tblPr>
      <w:tblGrid>
        <w:gridCol w:w="5241"/>
        <w:gridCol w:w="4320"/>
      </w:tblGrid>
      <w:tr w:rsidR="00D85CBE" w14:paraId="346801AF" w14:textId="77777777" w:rsidTr="00D85CBE">
        <w:trPr>
          <w:cantSplit/>
        </w:trPr>
        <w:tc>
          <w:tcPr>
            <w:tcW w:w="5241" w:type="dxa"/>
            <w:tcBorders>
              <w:bottom w:val="single" w:sz="6" w:space="0" w:color="999999"/>
            </w:tcBorders>
            <w:hideMark/>
          </w:tcPr>
          <w:p w14:paraId="47464A0A" w14:textId="77777777" w:rsidR="00D85CBE" w:rsidRPr="00306F7C" w:rsidRDefault="00D85CBE">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6E933361" w14:textId="77777777" w:rsidR="00D85CBE" w:rsidRDefault="00D85CBE">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Trilogy Partnerships (2005-present)</w:t>
            </w:r>
          </w:p>
          <w:p w14:paraId="2026F099" w14:textId="77777777" w:rsidR="00D85CBE" w:rsidRDefault="00D85CBE">
            <w:pPr>
              <w:pStyle w:val="NormalWeb"/>
              <w:spacing w:before="0" w:beforeAutospacing="0" w:after="0" w:afterAutospacing="0"/>
              <w:rPr>
                <w:rFonts w:ascii="Arial" w:hAnsi="Arial" w:cs="Arial"/>
                <w:sz w:val="18"/>
                <w:szCs w:val="18"/>
              </w:rPr>
            </w:pPr>
            <w:r>
              <w:rPr>
                <w:rFonts w:ascii="Arial" w:hAnsi="Arial" w:cs="Arial"/>
                <w:color w:val="0075C9"/>
                <w:sz w:val="18"/>
                <w:szCs w:val="18"/>
              </w:rPr>
              <w:t>(investment company)</w:t>
            </w:r>
          </w:p>
          <w:p w14:paraId="10E8E7D7" w14:textId="77777777" w:rsidR="00D85CBE" w:rsidRDefault="00D85CB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Founder and Chairman (2005-present)</w:t>
            </w:r>
          </w:p>
          <w:p w14:paraId="5212D6CE" w14:textId="77777777" w:rsidR="00D85CBE" w:rsidRDefault="00D85CBE">
            <w:pPr>
              <w:pStyle w:val="NormalWeb"/>
              <w:spacing w:before="0" w:beforeAutospacing="0" w:after="0" w:afterAutospacing="0"/>
              <w:rPr>
                <w:rFonts w:ascii="Arial" w:hAnsi="Arial" w:cs="Arial"/>
                <w:sz w:val="18"/>
                <w:szCs w:val="18"/>
              </w:rPr>
            </w:pPr>
            <w:r>
              <w:rPr>
                <w:rFonts w:ascii="Arial" w:hAnsi="Arial" w:cs="Arial"/>
                <w:b/>
                <w:bCs/>
                <w:color w:val="0075C9"/>
                <w:sz w:val="18"/>
                <w:szCs w:val="18"/>
              </w:rPr>
              <w:t>Clearwire Corp. (2008-2013)</w:t>
            </w:r>
          </w:p>
          <w:p w14:paraId="37C7836A" w14:textId="77777777" w:rsidR="00D85CBE" w:rsidRDefault="00D85CB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Chairman of the Board (2011-2013)</w:t>
            </w:r>
          </w:p>
          <w:p w14:paraId="7C094688" w14:textId="77777777" w:rsidR="00D85CBE" w:rsidRDefault="00D85CB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Interim Chief Executive Officer (2011)</w:t>
            </w:r>
          </w:p>
          <w:p w14:paraId="0AE3C51F" w14:textId="77777777" w:rsidR="00D85CBE" w:rsidRDefault="00D85CB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Board member (2008-2011)</w:t>
            </w:r>
          </w:p>
          <w:p w14:paraId="5F0DF786" w14:textId="77777777" w:rsidR="00D85CBE" w:rsidRDefault="00D85CBE">
            <w:pPr>
              <w:pStyle w:val="NormalWeb"/>
              <w:spacing w:before="0" w:beforeAutospacing="0" w:after="0" w:afterAutospacing="0"/>
              <w:rPr>
                <w:rFonts w:ascii="Arial" w:hAnsi="Arial" w:cs="Arial"/>
                <w:sz w:val="18"/>
                <w:szCs w:val="18"/>
              </w:rPr>
            </w:pPr>
            <w:r>
              <w:rPr>
                <w:rFonts w:ascii="Arial" w:hAnsi="Arial" w:cs="Arial"/>
                <w:b/>
                <w:bCs/>
                <w:color w:val="0075C9"/>
                <w:sz w:val="18"/>
                <w:szCs w:val="18"/>
              </w:rPr>
              <w:t>Western Wireless Corporation (1992-2005)</w:t>
            </w:r>
          </w:p>
          <w:p w14:paraId="35DDB189" w14:textId="77777777" w:rsidR="00D85CBE" w:rsidRDefault="00D85CB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Founder, Chief Executive Officer, and Chairman (1992-2005)</w:t>
            </w:r>
          </w:p>
          <w:p w14:paraId="14F0B727" w14:textId="77777777" w:rsidR="00D85CBE" w:rsidRDefault="00D85CBE">
            <w:pPr>
              <w:pStyle w:val="NormalWeb"/>
              <w:spacing w:before="0" w:beforeAutospacing="0" w:after="0" w:afterAutospacing="0"/>
              <w:rPr>
                <w:rFonts w:ascii="Arial" w:hAnsi="Arial" w:cs="Arial"/>
                <w:sz w:val="18"/>
                <w:szCs w:val="18"/>
              </w:rPr>
            </w:pPr>
            <w:proofErr w:type="spellStart"/>
            <w:r>
              <w:rPr>
                <w:rFonts w:ascii="Arial" w:hAnsi="Arial" w:cs="Arial"/>
                <w:b/>
                <w:bCs/>
                <w:color w:val="0075C9"/>
                <w:sz w:val="18"/>
                <w:szCs w:val="18"/>
              </w:rPr>
              <w:t>VoiceStream</w:t>
            </w:r>
            <w:proofErr w:type="spellEnd"/>
            <w:r>
              <w:rPr>
                <w:rFonts w:ascii="Arial" w:hAnsi="Arial" w:cs="Arial"/>
                <w:b/>
                <w:bCs/>
                <w:color w:val="0075C9"/>
                <w:sz w:val="18"/>
                <w:szCs w:val="18"/>
              </w:rPr>
              <w:t xml:space="preserve"> Wireless Corporation (1995-2003)</w:t>
            </w:r>
          </w:p>
          <w:p w14:paraId="71AF1999" w14:textId="77777777" w:rsidR="00D85CBE" w:rsidRDefault="00D85CB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Chairman (1995-2003)</w:t>
            </w:r>
          </w:p>
          <w:p w14:paraId="6575F8E4" w14:textId="77777777" w:rsidR="00D85CBE" w:rsidRDefault="00D85CBE">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320" w:type="dxa"/>
            <w:tcBorders>
              <w:bottom w:val="single" w:sz="6" w:space="0" w:color="999999"/>
            </w:tcBorders>
            <w:hideMark/>
          </w:tcPr>
          <w:p w14:paraId="79DA3BD6" w14:textId="77777777" w:rsidR="00D85CBE" w:rsidRDefault="00D85CBE">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443667FE" w14:textId="77777777" w:rsidR="00D85CBE" w:rsidRDefault="00D85CB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Audit</w:t>
            </w:r>
          </w:p>
          <w:p w14:paraId="764060CC" w14:textId="77777777" w:rsidR="00D85CBE" w:rsidRDefault="00D85CB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Environmental, Social, and Public Policy</w:t>
            </w:r>
          </w:p>
          <w:p w14:paraId="1ECE7709" w14:textId="77777777" w:rsidR="00D85CBE" w:rsidRDefault="00D85CBE">
            <w:pPr>
              <w:pStyle w:val="NormalWeb"/>
              <w:spacing w:before="0" w:beforeAutospacing="0" w:after="0" w:afterAutospacing="0"/>
              <w:rPr>
                <w:rFonts w:ascii="Arial" w:hAnsi="Arial" w:cs="Arial"/>
                <w:sz w:val="20"/>
                <w:szCs w:val="20"/>
              </w:rPr>
            </w:pPr>
            <w:r>
              <w:rPr>
                <w:rFonts w:ascii="Arial" w:hAnsi="Arial" w:cs="Arial"/>
                <w:sz w:val="20"/>
                <w:szCs w:val="20"/>
              </w:rPr>
              <w:t> </w:t>
            </w:r>
          </w:p>
          <w:p w14:paraId="71B950BC" w14:textId="77777777" w:rsidR="00D85CBE" w:rsidRDefault="00D85CBE">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6D5B2C89" w14:textId="77777777" w:rsidR="00D85CBE" w:rsidRDefault="00D85CB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Costco Wholesale Corporation</w:t>
            </w:r>
          </w:p>
          <w:p w14:paraId="5DC887DE" w14:textId="77777777" w:rsidR="00D85CBE" w:rsidRDefault="00D85CB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Trilogy International Partners, Inc.</w:t>
            </w:r>
          </w:p>
          <w:p w14:paraId="7111327A" w14:textId="77777777" w:rsidR="00D85CBE" w:rsidRDefault="00D85CBE">
            <w:pPr>
              <w:pStyle w:val="NormalWeb"/>
              <w:spacing w:before="0" w:beforeAutospacing="0" w:after="0" w:afterAutospacing="0"/>
              <w:rPr>
                <w:rFonts w:ascii="Arial" w:hAnsi="Arial" w:cs="Arial"/>
                <w:sz w:val="20"/>
                <w:szCs w:val="20"/>
              </w:rPr>
            </w:pPr>
            <w:r>
              <w:rPr>
                <w:rFonts w:ascii="Arial" w:hAnsi="Arial" w:cs="Arial"/>
                <w:sz w:val="20"/>
                <w:szCs w:val="20"/>
              </w:rPr>
              <w:t> </w:t>
            </w:r>
          </w:p>
          <w:p w14:paraId="3BCA6290" w14:textId="77777777" w:rsidR="00D85CBE" w:rsidRDefault="00D85CBE">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5E340C0C" w14:textId="77777777" w:rsidR="00D85CBE" w:rsidRDefault="00D85CBE">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0DBF0B1E" w14:textId="77777777" w:rsidR="00D85CBE" w:rsidRDefault="00D85CB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751A40CE" w14:textId="77777777" w:rsidR="00D85CBE" w:rsidRDefault="00D85CBE">
            <w:pPr>
              <w:pStyle w:val="NormalWeb"/>
              <w:spacing w:before="0" w:beforeAutospacing="0" w:after="0" w:afterAutospacing="0"/>
              <w:rPr>
                <w:rFonts w:ascii="Arial" w:hAnsi="Arial" w:cs="Arial"/>
                <w:sz w:val="20"/>
                <w:szCs w:val="20"/>
              </w:rPr>
            </w:pPr>
            <w:r>
              <w:rPr>
                <w:rFonts w:ascii="Arial" w:hAnsi="Arial" w:cs="Arial"/>
                <w:sz w:val="20"/>
                <w:szCs w:val="20"/>
              </w:rPr>
              <w:t> </w:t>
            </w:r>
          </w:p>
          <w:p w14:paraId="0B3526E9" w14:textId="77777777" w:rsidR="00D85CBE" w:rsidRDefault="00D85CBE">
            <w:pPr>
              <w:pStyle w:val="NormalWeb"/>
              <w:keepNext/>
              <w:spacing w:before="0" w:beforeAutospacing="0" w:after="0" w:afterAutospacing="0"/>
              <w:rPr>
                <w:rFonts w:ascii="Arial" w:hAnsi="Arial" w:cs="Arial"/>
                <w:sz w:val="18"/>
                <w:szCs w:val="18"/>
              </w:rPr>
            </w:pPr>
            <w:r>
              <w:rPr>
                <w:rFonts w:ascii="Arial" w:hAnsi="Arial" w:cs="Arial"/>
                <w:b/>
                <w:bCs/>
                <w:sz w:val="18"/>
                <w:szCs w:val="18"/>
              </w:rPr>
              <w:t>Other Positions:</w:t>
            </w:r>
          </w:p>
          <w:p w14:paraId="112266BB" w14:textId="77777777" w:rsidR="00D85CBE" w:rsidRDefault="00D85CB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Chairman, First Avenue Entertainment LLLP, owner of Seattle Mariners (2016-present)</w:t>
            </w:r>
          </w:p>
          <w:p w14:paraId="6FCBBC3E" w14:textId="77777777" w:rsidR="00D85CBE" w:rsidRDefault="00D85CBE">
            <w:pPr>
              <w:pStyle w:val="NormalWeb"/>
              <w:spacing w:before="0" w:beforeAutospacing="0" w:after="20" w:afterAutospacing="0"/>
              <w:rPr>
                <w:rFonts w:ascii="Arial" w:hAnsi="Arial" w:cs="Arial"/>
                <w:sz w:val="20"/>
                <w:szCs w:val="20"/>
              </w:rPr>
            </w:pPr>
            <w:r>
              <w:rPr>
                <w:rFonts w:ascii="Arial" w:hAnsi="Arial" w:cs="Arial"/>
                <w:sz w:val="20"/>
                <w:szCs w:val="20"/>
              </w:rPr>
              <w:t> </w:t>
            </w:r>
          </w:p>
        </w:tc>
      </w:tr>
    </w:tbl>
    <w:p w14:paraId="15155A63" w14:textId="77777777" w:rsidR="00D246A9" w:rsidRPr="00306F7C" w:rsidRDefault="00D246A9">
      <w:pPr>
        <w:pStyle w:val="NormalWeb"/>
        <w:keepNext/>
        <w:spacing w:before="0" w:beforeAutospacing="0" w:after="0" w:afterAutospacing="0"/>
      </w:pPr>
      <w:r>
        <w:t> </w:t>
      </w:r>
    </w:p>
    <w:tbl>
      <w:tblPr>
        <w:tblW w:w="0" w:type="auto"/>
        <w:tblLayout w:type="fixed"/>
        <w:tblCellMar>
          <w:left w:w="0" w:type="dxa"/>
          <w:right w:w="0" w:type="dxa"/>
        </w:tblCellMar>
        <w:tblLook w:val="0600" w:firstRow="0" w:lastRow="0" w:firstColumn="0" w:lastColumn="0" w:noHBand="1" w:noVBand="1"/>
      </w:tblPr>
      <w:tblGrid>
        <w:gridCol w:w="308"/>
        <w:gridCol w:w="1522"/>
        <w:gridCol w:w="5190"/>
        <w:gridCol w:w="3780"/>
      </w:tblGrid>
      <w:tr w:rsidR="00D246A9" w14:paraId="3BA47289" w14:textId="77777777" w:rsidTr="00052122">
        <w:tc>
          <w:tcPr>
            <w:tcW w:w="308" w:type="dxa"/>
            <w:vAlign w:val="center"/>
            <w:hideMark/>
          </w:tcPr>
          <w:p w14:paraId="6F394A33" w14:textId="77777777" w:rsidR="00D246A9" w:rsidRDefault="00D246A9"/>
        </w:tc>
        <w:tc>
          <w:tcPr>
            <w:tcW w:w="1522" w:type="dxa"/>
            <w:vAlign w:val="center"/>
            <w:hideMark/>
          </w:tcPr>
          <w:p w14:paraId="03E07640" w14:textId="77777777" w:rsidR="00D246A9" w:rsidRDefault="00D246A9">
            <w:pPr>
              <w:rPr>
                <w:sz w:val="20"/>
              </w:rPr>
            </w:pPr>
          </w:p>
        </w:tc>
        <w:tc>
          <w:tcPr>
            <w:tcW w:w="5190" w:type="dxa"/>
            <w:vAlign w:val="center"/>
            <w:hideMark/>
          </w:tcPr>
          <w:p w14:paraId="55252222" w14:textId="77777777" w:rsidR="00D246A9" w:rsidRDefault="00D246A9">
            <w:pPr>
              <w:rPr>
                <w:sz w:val="20"/>
              </w:rPr>
            </w:pPr>
          </w:p>
        </w:tc>
        <w:tc>
          <w:tcPr>
            <w:tcW w:w="3780" w:type="dxa"/>
            <w:vAlign w:val="center"/>
            <w:hideMark/>
          </w:tcPr>
          <w:p w14:paraId="0C9B44A0" w14:textId="77777777" w:rsidR="00D246A9" w:rsidRDefault="00D246A9">
            <w:pPr>
              <w:rPr>
                <w:sz w:val="20"/>
              </w:rPr>
            </w:pPr>
          </w:p>
        </w:tc>
      </w:tr>
      <w:tr w:rsidR="00052122" w14:paraId="272A7982" w14:textId="77777777" w:rsidTr="00ED0CB1">
        <w:trPr>
          <w:cantSplit/>
          <w:trHeight w:val="598"/>
        </w:trPr>
        <w:tc>
          <w:tcPr>
            <w:tcW w:w="1830" w:type="dxa"/>
            <w:gridSpan w:val="2"/>
            <w:vMerge w:val="restart"/>
            <w:tcMar>
              <w:top w:w="0" w:type="dxa"/>
              <w:left w:w="144" w:type="dxa"/>
              <w:bottom w:w="0" w:type="dxa"/>
              <w:right w:w="0" w:type="dxa"/>
            </w:tcMar>
            <w:hideMark/>
          </w:tcPr>
          <w:p w14:paraId="34035C14" w14:textId="10FBB304" w:rsidR="00052122" w:rsidRDefault="00052122" w:rsidP="00052122">
            <w:pPr>
              <w:jc w:val="center"/>
              <w:rPr>
                <w:rFonts w:ascii="Arial" w:hAnsi="Arial" w:cs="Arial"/>
                <w:sz w:val="52"/>
                <w:szCs w:val="52"/>
              </w:rPr>
            </w:pPr>
            <w:r>
              <w:rPr>
                <w:rFonts w:ascii="Arial" w:hAnsi="Arial" w:cs="Arial"/>
                <w:noProof/>
                <w:sz w:val="52"/>
                <w:szCs w:val="52"/>
              </w:rPr>
              <w:drawing>
                <wp:inline distT="0" distB="0" distL="0" distR="0" wp14:anchorId="230F4F5C" wp14:editId="275C4D9F">
                  <wp:extent cx="914400" cy="914400"/>
                  <wp:effectExtent l="0" t="0" r="0" b="0"/>
                  <wp:docPr id="1610161724"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61724" name="Picture 17">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8970" w:type="dxa"/>
            <w:gridSpan w:val="2"/>
            <w:vAlign w:val="bottom"/>
            <w:hideMark/>
          </w:tcPr>
          <w:p w14:paraId="3F0B14D1" w14:textId="035EAED6" w:rsidR="00052122" w:rsidRPr="00306F7C" w:rsidRDefault="00052122" w:rsidP="00052122">
            <w:pPr>
              <w:rPr>
                <w:rFonts w:ascii="Arial" w:hAnsi="Arial" w:cs="Arial"/>
                <w:sz w:val="52"/>
                <w:szCs w:val="52"/>
              </w:rPr>
            </w:pPr>
            <w:r>
              <w:rPr>
                <w:rFonts w:ascii="Arial" w:hAnsi="Arial" w:cs="Arial"/>
                <w:color w:val="595959"/>
                <w:sz w:val="52"/>
                <w:szCs w:val="52"/>
              </w:rPr>
              <w:t>Emma N. Walmsley</w:t>
            </w:r>
          </w:p>
        </w:tc>
      </w:tr>
      <w:tr w:rsidR="00052122" w14:paraId="46D5B82F" w14:textId="77777777" w:rsidTr="007B5CE3">
        <w:trPr>
          <w:cantSplit/>
        </w:trPr>
        <w:tc>
          <w:tcPr>
            <w:tcW w:w="1830" w:type="dxa"/>
            <w:gridSpan w:val="2"/>
            <w:vMerge/>
            <w:tcMar>
              <w:top w:w="0" w:type="dxa"/>
              <w:left w:w="144" w:type="dxa"/>
              <w:bottom w:w="0" w:type="dxa"/>
              <w:right w:w="0" w:type="dxa"/>
            </w:tcMar>
            <w:hideMark/>
          </w:tcPr>
          <w:p w14:paraId="0CDEA47E" w14:textId="77777777" w:rsidR="00052122" w:rsidRDefault="00052122">
            <w:pPr>
              <w:rPr>
                <w:rFonts w:ascii="Arial" w:hAnsi="Arial" w:cs="Arial"/>
                <w:sz w:val="52"/>
                <w:szCs w:val="52"/>
              </w:rPr>
            </w:pPr>
          </w:p>
        </w:tc>
        <w:tc>
          <w:tcPr>
            <w:tcW w:w="8970" w:type="dxa"/>
            <w:gridSpan w:val="2"/>
            <w:vAlign w:val="bottom"/>
            <w:hideMark/>
          </w:tcPr>
          <w:p w14:paraId="54592068" w14:textId="77777777" w:rsidR="00052122" w:rsidRDefault="00052122">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54 | </w:t>
            </w:r>
            <w:r>
              <w:rPr>
                <w:rFonts w:ascii="Arial" w:hAnsi="Arial" w:cs="Arial"/>
                <w:b/>
                <w:bCs/>
                <w:sz w:val="20"/>
                <w:szCs w:val="20"/>
              </w:rPr>
              <w:t>Director Since:</w:t>
            </w:r>
            <w:r>
              <w:rPr>
                <w:rFonts w:ascii="Arial" w:hAnsi="Arial" w:cs="Arial"/>
                <w:sz w:val="20"/>
                <w:szCs w:val="20"/>
              </w:rPr>
              <w:t xml:space="preserve"> 2019 | </w:t>
            </w:r>
            <w:r>
              <w:rPr>
                <w:rFonts w:ascii="Arial" w:hAnsi="Arial" w:cs="Arial"/>
                <w:b/>
                <w:bCs/>
                <w:sz w:val="20"/>
                <w:szCs w:val="20"/>
              </w:rPr>
              <w:t>Birthplace:</w:t>
            </w:r>
            <w:r>
              <w:rPr>
                <w:rFonts w:ascii="Arial" w:hAnsi="Arial" w:cs="Arial"/>
                <w:sz w:val="20"/>
                <w:szCs w:val="20"/>
              </w:rPr>
              <w:t xml:space="preserve"> United Kingdom | </w:t>
            </w:r>
            <w:r>
              <w:rPr>
                <w:rFonts w:ascii="Arial" w:hAnsi="Arial" w:cs="Arial"/>
                <w:color w:val="0075C9"/>
                <w:sz w:val="20"/>
                <w:szCs w:val="20"/>
              </w:rPr>
              <w:t>Independent</w:t>
            </w:r>
          </w:p>
          <w:p w14:paraId="7A3D1D2E" w14:textId="77777777" w:rsidR="00052122" w:rsidRDefault="00052122">
            <w:pPr>
              <w:pStyle w:val="NormalWeb"/>
              <w:spacing w:before="0" w:beforeAutospacing="0" w:after="0" w:afterAutospacing="0"/>
              <w:rPr>
                <w:rFonts w:ascii="Arial" w:hAnsi="Arial" w:cs="Arial"/>
                <w:sz w:val="12"/>
                <w:szCs w:val="12"/>
              </w:rPr>
            </w:pPr>
            <w:r>
              <w:rPr>
                <w:rFonts w:ascii="Arial" w:hAnsi="Arial" w:cs="Arial"/>
                <w:sz w:val="12"/>
                <w:szCs w:val="12"/>
              </w:rPr>
              <w:t> </w:t>
            </w:r>
          </w:p>
          <w:p w14:paraId="15956107" w14:textId="77777777" w:rsidR="00052122" w:rsidRDefault="00052122">
            <w:pPr>
              <w:pStyle w:val="NormalWeb"/>
              <w:spacing w:before="0" w:beforeAutospacing="0" w:after="0" w:afterAutospacing="0"/>
              <w:rPr>
                <w:rFonts w:ascii="Arial" w:hAnsi="Arial" w:cs="Arial"/>
                <w:sz w:val="12"/>
                <w:szCs w:val="12"/>
              </w:rPr>
            </w:pPr>
            <w:r>
              <w:rPr>
                <w:rFonts w:ascii="Arial" w:hAnsi="Arial" w:cs="Arial"/>
                <w:sz w:val="12"/>
                <w:szCs w:val="12"/>
              </w:rPr>
              <w:t> </w:t>
            </w:r>
          </w:p>
          <w:p w14:paraId="1EB81200" w14:textId="36CE3D30" w:rsidR="00052122" w:rsidRDefault="00052122">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210E3075" wp14:editId="541AF129">
                  <wp:extent cx="1939030" cy="274320"/>
                  <wp:effectExtent l="0" t="0" r="4445" b="0"/>
                  <wp:docPr id="601669920" name="Picture 18" descr="Ms. Walmsley is experienced in global business, leadership, mergers and acquisitions, and sales and marketing. She also represents diversity on our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69920" name="Picture 18" descr="Ms. Walmsley is experienced in global business, leadership, mergers and acquisitions, and sales and marketing. She also represents diversity on our Boar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39030" cy="274320"/>
                          </a:xfrm>
                          <a:prstGeom prst="rect">
                            <a:avLst/>
                          </a:prstGeom>
                        </pic:spPr>
                      </pic:pic>
                    </a:graphicData>
                  </a:graphic>
                </wp:inline>
              </w:drawing>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r>
              <w:rPr>
                <w:rFonts w:ascii="Arial" w:hAnsi="Arial" w:cs="Arial"/>
                <w:sz w:val="14"/>
                <w:szCs w:val="14"/>
              </w:rPr>
              <w:t> </w:t>
            </w:r>
            <w:r>
              <w:rPr>
                <w:rFonts w:ascii="Arial" w:hAnsi="Arial" w:cs="Arial"/>
                <w:sz w:val="14"/>
                <w:szCs w:val="14"/>
              </w:rPr>
              <w:t> </w:t>
            </w:r>
            <w:r>
              <w:rPr>
                <w:rFonts w:ascii="Arial" w:hAnsi="Arial" w:cs="Arial"/>
                <w:sz w:val="14"/>
                <w:szCs w:val="14"/>
              </w:rPr>
              <w:t xml:space="preserve"> </w:t>
            </w:r>
          </w:p>
          <w:p w14:paraId="16975648" w14:textId="77777777" w:rsidR="00052122" w:rsidRDefault="00052122">
            <w:pPr>
              <w:pStyle w:val="NormalWeb"/>
              <w:spacing w:before="0" w:beforeAutospacing="0" w:after="20" w:afterAutospacing="0"/>
              <w:rPr>
                <w:rFonts w:ascii="Arial" w:hAnsi="Arial" w:cs="Arial"/>
              </w:rPr>
            </w:pPr>
            <w:r>
              <w:rPr>
                <w:rFonts w:ascii="Arial" w:hAnsi="Arial" w:cs="Arial"/>
              </w:rPr>
              <w:t> </w:t>
            </w:r>
          </w:p>
        </w:tc>
      </w:tr>
    </w:tbl>
    <w:p w14:paraId="1007CD7A" w14:textId="77777777" w:rsidR="00D246A9" w:rsidRDefault="00D246A9">
      <w:pPr>
        <w:rPr>
          <w:vanish/>
        </w:rPr>
      </w:pPr>
    </w:p>
    <w:tbl>
      <w:tblPr>
        <w:tblW w:w="9531" w:type="dxa"/>
        <w:tblInd w:w="637" w:type="dxa"/>
        <w:tblLayout w:type="fixed"/>
        <w:tblCellMar>
          <w:left w:w="0" w:type="dxa"/>
          <w:right w:w="0" w:type="dxa"/>
        </w:tblCellMar>
        <w:tblLook w:val="0600" w:firstRow="0" w:lastRow="0" w:firstColumn="0" w:lastColumn="0" w:noHBand="1" w:noVBand="1"/>
      </w:tblPr>
      <w:tblGrid>
        <w:gridCol w:w="5211"/>
        <w:gridCol w:w="4320"/>
      </w:tblGrid>
      <w:tr w:rsidR="00052122" w14:paraId="5774E33A" w14:textId="77777777" w:rsidTr="00052122">
        <w:trPr>
          <w:cantSplit/>
        </w:trPr>
        <w:tc>
          <w:tcPr>
            <w:tcW w:w="5211" w:type="dxa"/>
            <w:tcBorders>
              <w:bottom w:val="single" w:sz="6" w:space="0" w:color="999999"/>
            </w:tcBorders>
            <w:hideMark/>
          </w:tcPr>
          <w:p w14:paraId="765E07FF" w14:textId="77777777" w:rsidR="00052122" w:rsidRPr="00306F7C" w:rsidRDefault="00052122">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1065BB2C" w14:textId="77777777" w:rsidR="00052122" w:rsidRDefault="00052122">
            <w:pPr>
              <w:pStyle w:val="NormalWeb"/>
              <w:spacing w:before="0" w:beforeAutospacing="0" w:after="0" w:afterAutospacing="0"/>
              <w:rPr>
                <w:rFonts w:ascii="Arial" w:hAnsi="Arial" w:cs="Arial"/>
                <w:sz w:val="18"/>
                <w:szCs w:val="18"/>
              </w:rPr>
            </w:pPr>
            <w:r>
              <w:rPr>
                <w:rFonts w:ascii="Arial" w:hAnsi="Arial" w:cs="Arial"/>
                <w:b/>
                <w:bCs/>
                <w:color w:val="0075C9"/>
                <w:sz w:val="18"/>
                <w:szCs w:val="18"/>
              </w:rPr>
              <w:t>GSK plc (2010-present)</w:t>
            </w:r>
          </w:p>
          <w:p w14:paraId="29CA5270" w14:textId="77777777" w:rsidR="00052122" w:rsidRDefault="00052122">
            <w:pPr>
              <w:pStyle w:val="NormalWeb"/>
              <w:spacing w:before="0" w:beforeAutospacing="0" w:after="0" w:afterAutospacing="0"/>
              <w:rPr>
                <w:rFonts w:ascii="Arial" w:hAnsi="Arial" w:cs="Arial"/>
                <w:sz w:val="18"/>
                <w:szCs w:val="18"/>
              </w:rPr>
            </w:pPr>
            <w:r>
              <w:rPr>
                <w:rFonts w:ascii="Arial" w:hAnsi="Arial" w:cs="Arial"/>
                <w:color w:val="0075C9"/>
                <w:sz w:val="18"/>
                <w:szCs w:val="18"/>
              </w:rPr>
              <w:t>(healthcare company)</w:t>
            </w:r>
          </w:p>
          <w:p w14:paraId="51C96927" w14:textId="77777777" w:rsidR="00052122" w:rsidRDefault="0005212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Director (2017-present)</w:t>
            </w:r>
          </w:p>
          <w:p w14:paraId="36D3EE89" w14:textId="77777777" w:rsidR="00052122" w:rsidRDefault="0005212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Consumer Healthcare (2015-2016)</w:t>
            </w:r>
          </w:p>
          <w:p w14:paraId="7B72D0C9" w14:textId="77777777" w:rsidR="00052122" w:rsidRDefault="0005212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Consumer Healthcare (2012-2015)</w:t>
            </w:r>
          </w:p>
          <w:p w14:paraId="7EC0B91C" w14:textId="77777777" w:rsidR="00052122" w:rsidRDefault="0005212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Consumer Healthcare Europe (2010-2012)</w:t>
            </w:r>
          </w:p>
          <w:p w14:paraId="428A5E62" w14:textId="77777777" w:rsidR="00052122" w:rsidRDefault="00052122">
            <w:pPr>
              <w:pStyle w:val="NormalWeb"/>
              <w:spacing w:before="0" w:beforeAutospacing="0" w:after="0" w:afterAutospacing="0"/>
              <w:rPr>
                <w:rFonts w:ascii="Arial" w:hAnsi="Arial" w:cs="Arial"/>
                <w:sz w:val="18"/>
                <w:szCs w:val="18"/>
              </w:rPr>
            </w:pPr>
            <w:r>
              <w:rPr>
                <w:rFonts w:ascii="Arial" w:hAnsi="Arial" w:cs="Arial"/>
                <w:b/>
                <w:bCs/>
                <w:color w:val="0075C9"/>
                <w:sz w:val="18"/>
                <w:szCs w:val="18"/>
              </w:rPr>
              <w:t>L’Oreal, S.A. (1994-2010)</w:t>
            </w:r>
          </w:p>
          <w:p w14:paraId="5153AF24" w14:textId="77777777" w:rsidR="00052122" w:rsidRDefault="0005212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General Manager, Consumer Products, China (2007-2010)</w:t>
            </w:r>
          </w:p>
          <w:p w14:paraId="1272D43E" w14:textId="77777777" w:rsidR="00052122" w:rsidRDefault="0005212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Global Brand Head, Maybelline, USA (2002-2007)</w:t>
            </w:r>
          </w:p>
          <w:p w14:paraId="5A451208" w14:textId="77777777" w:rsidR="00052122" w:rsidRDefault="0005212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UK General Manager, Garnier/Maybelline (1999-2002)</w:t>
            </w:r>
          </w:p>
          <w:p w14:paraId="26D1AFFF" w14:textId="77777777" w:rsidR="00052122" w:rsidRDefault="0005212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 (1994-1999)</w:t>
            </w:r>
          </w:p>
          <w:p w14:paraId="5559A37A" w14:textId="77777777" w:rsidR="00052122" w:rsidRDefault="00052122">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6AE150FD" w14:textId="77777777" w:rsidR="00052122" w:rsidRDefault="00052122">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60ECF9A9" w14:textId="77777777" w:rsidR="00052122" w:rsidRDefault="0005212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Compensation</w:t>
            </w:r>
          </w:p>
          <w:p w14:paraId="7E32BD0E" w14:textId="77777777" w:rsidR="00052122" w:rsidRDefault="0005212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Environmental, Social, and Public Policy</w:t>
            </w:r>
          </w:p>
          <w:p w14:paraId="7B8BBB2B" w14:textId="77777777" w:rsidR="00052122" w:rsidRDefault="00052122">
            <w:pPr>
              <w:pStyle w:val="NormalWeb"/>
              <w:spacing w:before="0" w:beforeAutospacing="0" w:after="0" w:afterAutospacing="0"/>
              <w:rPr>
                <w:rFonts w:ascii="Arial" w:hAnsi="Arial" w:cs="Arial"/>
                <w:sz w:val="20"/>
                <w:szCs w:val="20"/>
              </w:rPr>
            </w:pPr>
            <w:r>
              <w:rPr>
                <w:rFonts w:ascii="Arial" w:hAnsi="Arial" w:cs="Arial"/>
                <w:sz w:val="20"/>
                <w:szCs w:val="20"/>
              </w:rPr>
              <w:t> </w:t>
            </w:r>
          </w:p>
          <w:p w14:paraId="3A984ED7" w14:textId="77777777" w:rsidR="00052122" w:rsidRDefault="00052122">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00156F71" w14:textId="77777777" w:rsidR="00052122" w:rsidRDefault="00052122">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GSK plc</w:t>
            </w:r>
          </w:p>
          <w:p w14:paraId="5160F3A7" w14:textId="77777777" w:rsidR="00052122" w:rsidRDefault="00052122">
            <w:pPr>
              <w:pStyle w:val="NormalWeb"/>
              <w:spacing w:before="0" w:beforeAutospacing="0" w:after="0" w:afterAutospacing="0"/>
              <w:rPr>
                <w:rFonts w:ascii="Arial" w:hAnsi="Arial" w:cs="Arial"/>
                <w:sz w:val="20"/>
                <w:szCs w:val="20"/>
              </w:rPr>
            </w:pPr>
            <w:r>
              <w:rPr>
                <w:rFonts w:ascii="Arial" w:hAnsi="Arial" w:cs="Arial"/>
                <w:sz w:val="20"/>
                <w:szCs w:val="20"/>
              </w:rPr>
              <w:t> </w:t>
            </w:r>
          </w:p>
          <w:p w14:paraId="0F7030F4" w14:textId="77777777" w:rsidR="00052122" w:rsidRDefault="00052122">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5E12B53D" w14:textId="77777777" w:rsidR="00052122" w:rsidRDefault="00052122">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0EBFD2A2" w14:textId="77777777" w:rsidR="00052122" w:rsidRDefault="00052122">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tc>
      </w:tr>
    </w:tbl>
    <w:p w14:paraId="3A3E0BCD" w14:textId="77777777" w:rsidR="00D246A9" w:rsidRPr="00306F7C" w:rsidRDefault="00D246A9">
      <w:pPr>
        <w:pStyle w:val="NormalWeb"/>
        <w:spacing w:before="180" w:beforeAutospacing="0" w:after="0" w:afterAutospacing="0"/>
        <w:rPr>
          <w:sz w:val="2"/>
          <w:szCs w:val="2"/>
        </w:rPr>
      </w:pPr>
      <w:r>
        <w:rPr>
          <w:sz w:val="2"/>
          <w:szCs w:val="2"/>
        </w:rPr>
        <w:t> </w:t>
      </w:r>
    </w:p>
    <w:p w14:paraId="7B8184A6" w14:textId="77777777" w:rsidR="006309E1" w:rsidRDefault="006309E1">
      <w:pPr>
        <w:rPr>
          <w:rFonts w:ascii="Arial" w:hAnsi="Arial" w:cs="Arial"/>
          <w:b/>
          <w:bCs/>
          <w:szCs w:val="24"/>
        </w:rPr>
      </w:pPr>
      <w:r>
        <w:br w:type="page"/>
      </w:r>
    </w:p>
    <w:p w14:paraId="7957883E" w14:textId="194808AD" w:rsidR="00D246A9" w:rsidRDefault="00D246A9" w:rsidP="006309E1">
      <w:pPr>
        <w:pStyle w:val="Heading4"/>
      </w:pPr>
      <w:r>
        <w:lastRenderedPageBreak/>
        <w:t xml:space="preserve">How to Communicate with our Board </w:t>
      </w:r>
    </w:p>
    <w:p w14:paraId="2E12AB62"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We will transmit shareholder communications related to corporate governance and other Board matters to the Board, a committee of the Board, or a director as designated in your message. Communications relating to other topics, including those that are primarily commercial in nature, will not be forwarded. </w:t>
      </w:r>
    </w:p>
    <w:p w14:paraId="1D45A7FE" w14:textId="5CCAC86E" w:rsidR="00D246A9" w:rsidRDefault="00D246A9">
      <w:pPr>
        <w:pStyle w:val="NormalWeb"/>
        <w:keepNext/>
        <w:spacing w:before="0" w:beforeAutospacing="0" w:after="0" w:afterAutospacing="0"/>
      </w:pPr>
      <w:r>
        <w:t> </w:t>
      </w:r>
      <w:r w:rsidR="000364A7">
        <w:rPr>
          <w:noProof/>
        </w:rPr>
        <w:drawing>
          <wp:inline distT="0" distB="0" distL="0" distR="0" wp14:anchorId="6A7819D2" wp14:editId="57387E10">
            <wp:extent cx="6858000" cy="860425"/>
            <wp:effectExtent l="0" t="0" r="0" b="0"/>
            <wp:docPr id="1548676944" name="Picture 9" descr="Questions may be emailed to our board at askboard@microsoft.com. &#10;&#10;questions may also be mailed to our board at &#10;&#10;MSC 123/9999&#10;Office of the Corporate Secretary&#10;Microsoft Corporation&#10;One Microsoft Way&#10;Redmond, WA 98052-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76944" name="Picture 9" descr="Questions may be emailed to our board at askboard@microsoft.com. &#10;&#10;questions may also be mailed to our board at &#10;&#10;MSC 123/9999&#10;Office of the Corporate Secretary&#10;Microsoft Corporation&#10;One Microsoft Way&#10;Redmond, WA 98052-6399"/>
                    <pic:cNvPicPr/>
                  </pic:nvPicPr>
                  <pic:blipFill>
                    <a:blip r:embed="rId50">
                      <a:extLst>
                        <a:ext uri="{28A0092B-C50C-407E-A947-70E740481C1C}">
                          <a14:useLocalDpi xmlns:a14="http://schemas.microsoft.com/office/drawing/2010/main" val="0"/>
                        </a:ext>
                      </a:extLst>
                    </a:blip>
                    <a:stretch>
                      <a:fillRect/>
                    </a:stretch>
                  </pic:blipFill>
                  <pic:spPr>
                    <a:xfrm>
                      <a:off x="0" y="0"/>
                      <a:ext cx="6858000" cy="860425"/>
                    </a:xfrm>
                    <a:prstGeom prst="rect">
                      <a:avLst/>
                    </a:prstGeom>
                  </pic:spPr>
                </pic:pic>
              </a:graphicData>
            </a:graphic>
          </wp:inline>
        </w:drawing>
      </w:r>
    </w:p>
    <w:p w14:paraId="3BA5AC04" w14:textId="77777777" w:rsidR="00D246A9" w:rsidRPr="00306F7C" w:rsidRDefault="00D246A9">
      <w:pPr>
        <w:pStyle w:val="NormalWeb"/>
        <w:spacing w:before="240" w:beforeAutospacing="0" w:after="0" w:afterAutospacing="0"/>
        <w:rPr>
          <w:rFonts w:ascii="Arial" w:hAnsi="Arial" w:cs="Arial"/>
          <w:sz w:val="18"/>
          <w:szCs w:val="18"/>
        </w:rPr>
      </w:pPr>
      <w:r>
        <w:rPr>
          <w:rFonts w:ascii="Arial" w:hAnsi="Arial" w:cs="Arial"/>
          <w:sz w:val="18"/>
          <w:szCs w:val="18"/>
        </w:rPr>
        <w:t xml:space="preserve">Concerns about accounting or auditing matters or possible violations of our Standards of Business Conduct should be reported under the procedures outlined in the Microsoft Standards of Business Conduct, which is available on our Microsoft integrity website at </w:t>
      </w:r>
      <w:r>
        <w:rPr>
          <w:rFonts w:ascii="Arial" w:hAnsi="Arial" w:cs="Arial"/>
          <w:sz w:val="18"/>
          <w:szCs w:val="18"/>
          <w:u w:val="single"/>
        </w:rPr>
        <w:t>microsoft.com/legal/compliance/integrity</w:t>
      </w:r>
      <w:r>
        <w:rPr>
          <w:rFonts w:ascii="Arial" w:hAnsi="Arial" w:cs="Arial"/>
          <w:sz w:val="18"/>
          <w:szCs w:val="18"/>
        </w:rPr>
        <w:t xml:space="preserve">. </w:t>
      </w:r>
    </w:p>
    <w:p w14:paraId="5DC4E434" w14:textId="77777777" w:rsidR="00D246A9" w:rsidRDefault="00D246A9" w:rsidP="006309E1">
      <w:pPr>
        <w:pStyle w:val="Heading4"/>
      </w:pPr>
      <w:r>
        <w:t xml:space="preserve">Director Independence Guidelines </w:t>
      </w:r>
    </w:p>
    <w:p w14:paraId="6573750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has adopted </w:t>
      </w:r>
      <w:proofErr w:type="gramStart"/>
      <w:r>
        <w:rPr>
          <w:rFonts w:ascii="Arial" w:hAnsi="Arial" w:cs="Arial"/>
          <w:sz w:val="18"/>
          <w:szCs w:val="18"/>
        </w:rPr>
        <w:t>director</w:t>
      </w:r>
      <w:proofErr w:type="gramEnd"/>
      <w:r>
        <w:rPr>
          <w:rFonts w:ascii="Arial" w:hAnsi="Arial" w:cs="Arial"/>
          <w:sz w:val="18"/>
          <w:szCs w:val="18"/>
        </w:rPr>
        <w:t xml:space="preserve"> independence guidelines to assist in determining each director’s independence. These guidelines are available on our website at </w:t>
      </w:r>
      <w:r>
        <w:rPr>
          <w:rFonts w:ascii="Arial" w:hAnsi="Arial" w:cs="Arial"/>
          <w:sz w:val="18"/>
          <w:szCs w:val="18"/>
          <w:u w:val="single"/>
        </w:rPr>
        <w:t>aka.ms/policiesandguidelines</w:t>
      </w:r>
      <w:r>
        <w:rPr>
          <w:rFonts w:ascii="Arial" w:hAnsi="Arial" w:cs="Arial"/>
          <w:sz w:val="18"/>
          <w:szCs w:val="18"/>
        </w:rPr>
        <w:t xml:space="preserve">. The guidelines either meet or are more restrictive than the definition of “independent director” in the listing requirements of Nasdaq and applicable laws and regulations. The guidelines identify categories of relationships the Board has determined would not affect a director’s independence and therefore are not considered by the Board in determining </w:t>
      </w:r>
      <w:proofErr w:type="gramStart"/>
      <w:r>
        <w:rPr>
          <w:rFonts w:ascii="Arial" w:hAnsi="Arial" w:cs="Arial"/>
          <w:sz w:val="18"/>
          <w:szCs w:val="18"/>
        </w:rPr>
        <w:t>director</w:t>
      </w:r>
      <w:proofErr w:type="gramEnd"/>
      <w:r>
        <w:rPr>
          <w:rFonts w:ascii="Arial" w:hAnsi="Arial" w:cs="Arial"/>
          <w:sz w:val="18"/>
          <w:szCs w:val="18"/>
        </w:rPr>
        <w:t xml:space="preserve"> independence. </w:t>
      </w:r>
    </w:p>
    <w:p w14:paraId="195E95F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Following the </w:t>
      </w:r>
      <w:proofErr w:type="gramStart"/>
      <w:r>
        <w:rPr>
          <w:rFonts w:ascii="Arial" w:hAnsi="Arial" w:cs="Arial"/>
          <w:sz w:val="18"/>
          <w:szCs w:val="18"/>
        </w:rPr>
        <w:t>director</w:t>
      </w:r>
      <w:proofErr w:type="gramEnd"/>
      <w:r>
        <w:rPr>
          <w:rFonts w:ascii="Arial" w:hAnsi="Arial" w:cs="Arial"/>
          <w:sz w:val="18"/>
          <w:szCs w:val="18"/>
        </w:rPr>
        <w:t xml:space="preserve"> independence guidelines, each year and before a new director is appointed, the Board must affirmatively determine a director has no relationship that would interfere with the exercise of independent judgment in carrying out their responsibilities as a director. Annually, each director completes a detailed questionnaire that provides information about relationships that might affect the determination of independence. Management provides the Governance and Nominating Committee and Board with relevant known facts and circumstances of any relationship bearing on the independence of a director or nominee that is outside the categories permitted under the </w:t>
      </w:r>
      <w:proofErr w:type="gramStart"/>
      <w:r>
        <w:rPr>
          <w:rFonts w:ascii="Arial" w:hAnsi="Arial" w:cs="Arial"/>
          <w:sz w:val="18"/>
          <w:szCs w:val="18"/>
        </w:rPr>
        <w:t>director</w:t>
      </w:r>
      <w:proofErr w:type="gramEnd"/>
      <w:r>
        <w:rPr>
          <w:rFonts w:ascii="Arial" w:hAnsi="Arial" w:cs="Arial"/>
          <w:sz w:val="18"/>
          <w:szCs w:val="18"/>
        </w:rPr>
        <w:t xml:space="preserve"> independence guidelines. The Committee then completes an assessment of each director considering all known relevant facts and circumstances concerning any relationship bearing on the independence of a director or nominee. This process includes evaluating whether any identified relationship otherwise adversely affects a director’s independence and affirmatively determining that the director has no material relationship with Microsoft, another director, or as a partner, shareholder, or officer of an organization that has a relationship with our Company. </w:t>
      </w:r>
    </w:p>
    <w:p w14:paraId="5CAB220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Governance and Nominating Committee also considers the tenure of a director, and for longer serving directors, whether the duration of service impacts the director’s independence from management, as demonstrated by the director’s relationship with management and the director’s participation in Board and committee deliberations. The Board seeks to maintain an average tenure of 10 years or less for its independent directors as a group. </w:t>
      </w:r>
    </w:p>
    <w:p w14:paraId="2C46555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Based on the review and recommendation by the Governance and Nominating Committee, the Board analyzed the independence of each director and nominee. The Board determined that Mses. List, MacGregor, Peterson, Pritzker, Walmsley, and Warrior, and Messrs. Hoffman, Johnston, Mason, Rodriguez, Scharf, Stanton, and Thompson meet the standards of independence under our Corporate Governance Guidelines, the director independence guidelines, and applicable Nasdaq listing standards, including that each member is free of any relationship that would interfere with his or her individual exercise of independent judgment. In making its independence determination, the Committee and Board considered ordinary course transactions between Microsoft and certain related entities, for instance the purchase of software licenses by companies of which a director is an executive officer, and purchases by Microsoft of goods and services from such companies.</w:t>
      </w:r>
    </w:p>
    <w:p w14:paraId="2143E34A" w14:textId="77777777" w:rsidR="00D246A9" w:rsidRDefault="00D246A9" w:rsidP="006309E1">
      <w:pPr>
        <w:pStyle w:val="Heading4"/>
      </w:pPr>
      <w:r>
        <w:t xml:space="preserve">Certain Relationships and Related Transactions </w:t>
      </w:r>
    </w:p>
    <w:p w14:paraId="44733FB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are a global company with extensive operations in the U.S. and many foreign countries. Every year, we spend billions of dollars for goods and services purchased from third parties. The authority of our employees to purchase goods and services is widely dispersed. Because of these wide-ranging activities, there may be transactions, business arrangements, or relationships with businesses and other organizations in which one of our directors, executive officers, nominees for director, or an owner of 5% or more of our stock (“5% shareholders”) or their immediate families, may also be a director, executive officer, or investor, or have some other direct or indirect material interest (“related entities”). We will refer to these transactions with related entities as related-party transactions where the amount involved exceeds $120,000 and a director, executive officer, nominee for director or 5% shareholders, or immediate family member has a direct or indirect material interest. </w:t>
      </w:r>
    </w:p>
    <w:p w14:paraId="145FFAF1" w14:textId="77777777" w:rsidR="00D246A9" w:rsidRDefault="00D246A9">
      <w:pPr>
        <w:pStyle w:val="NormalWeb"/>
        <w:spacing w:before="90" w:beforeAutospacing="0" w:after="0" w:afterAutospacing="0"/>
        <w:rPr>
          <w:sz w:val="2"/>
          <w:szCs w:val="2"/>
        </w:rPr>
      </w:pPr>
      <w:r>
        <w:rPr>
          <w:sz w:val="2"/>
          <w:szCs w:val="2"/>
        </w:rPr>
        <w:t> </w:t>
      </w:r>
    </w:p>
    <w:p w14:paraId="412AB084" w14:textId="77777777" w:rsidR="00D246A9" w:rsidRDefault="00D246A9" w:rsidP="003B74F2">
      <w:pPr>
        <w:pStyle w:val="NormalWeb"/>
        <w:keepNext/>
        <w:pageBreakBefore/>
        <w:spacing w:before="0" w:beforeAutospacing="0" w:after="0" w:afterAutospacing="0"/>
        <w:rPr>
          <w:rFonts w:ascii="Arial" w:hAnsi="Arial" w:cs="Arial"/>
          <w:sz w:val="18"/>
          <w:szCs w:val="18"/>
        </w:rPr>
      </w:pPr>
      <w:r>
        <w:rPr>
          <w:rFonts w:ascii="Arial" w:hAnsi="Arial" w:cs="Arial"/>
          <w:sz w:val="18"/>
          <w:szCs w:val="18"/>
        </w:rPr>
        <w:lastRenderedPageBreak/>
        <w:t xml:space="preserve">Related-party transactions have the potential to create actual or perceived conflicts of interest between Microsoft and its directors, executive officers, nominees for director or 5% shareholders, or their immediate family members. The Audit Committee has established a written policy and procedures for review and approval of related-party transactions. If a related-party transaction subject to review involves directly or indirectly a member of the Audit Committee (or an immediate family member or domestic partner), the remaining Committee members will conduct the review. In evaluating a related-party transaction, the Audit Committee considers, among other factors: </w:t>
      </w:r>
    </w:p>
    <w:p w14:paraId="1DC27DF0" w14:textId="77777777" w:rsidR="00D246A9" w:rsidRDefault="00D246A9" w:rsidP="009A2186">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The goods or services provided by or to the related party </w:t>
      </w:r>
    </w:p>
    <w:p w14:paraId="49662CB0" w14:textId="77777777" w:rsidR="00D246A9" w:rsidRDefault="00D246A9" w:rsidP="009A2186">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The nature of the transaction and the costs to be incurred by Microsoft or payments to Microsoft </w:t>
      </w:r>
    </w:p>
    <w:p w14:paraId="6FCD473B" w14:textId="77777777" w:rsidR="00D246A9" w:rsidRDefault="00D246A9" w:rsidP="009A2186">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The benefits associated with the transaction and whether comparable or alternative goods or services are available to Microsoft from unrelated parties </w:t>
      </w:r>
    </w:p>
    <w:p w14:paraId="3132A6D5" w14:textId="77777777" w:rsidR="00D246A9" w:rsidRDefault="00D246A9" w:rsidP="009A2186">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The business advantage Microsoft would gain by engaging in the transaction </w:t>
      </w:r>
    </w:p>
    <w:p w14:paraId="7F3711B7" w14:textId="77777777" w:rsidR="00D246A9" w:rsidRDefault="00D246A9" w:rsidP="009A2186">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The significance of the transaction to Microsoft and to the related party </w:t>
      </w:r>
    </w:p>
    <w:p w14:paraId="7EAF9F99" w14:textId="77777777" w:rsidR="00D246A9" w:rsidRDefault="00D246A9" w:rsidP="009A2186">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Management’s determination that the transaction is in the best interests of Microsoft </w:t>
      </w:r>
    </w:p>
    <w:p w14:paraId="328AB62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To receive Audit Committee approval, a related-party transaction must have a Microsoft business purpose and be on terms that are fair and reasonable to Microsoft and be as favorable to Microsoft as would be available from non-related entities in comparable transactions. The Audit Committee also requires that the transaction meet the same Microsoft standards that apply to comparable transactions with unaffiliated entities. </w:t>
      </w:r>
    </w:p>
    <w:p w14:paraId="0E7BD77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During fiscal year 2023, there were ordinary course transactions between Microsoft and certain related entities, for instance the purchase of software licenses by companies of which a director is an executive officer and purchases by Microsoft of goods and services from such companies. None of these transactions constituted a related-party transaction that required approval by the Audit Committee. </w:t>
      </w:r>
    </w:p>
    <w:p w14:paraId="400567B0" w14:textId="77777777" w:rsidR="00D246A9" w:rsidRDefault="00D246A9">
      <w:pPr>
        <w:pStyle w:val="rrdsinglerule"/>
        <w:pBdr>
          <w:top w:val="single" w:sz="6" w:space="0" w:color="0075C9"/>
        </w:pBdr>
        <w:spacing w:before="480"/>
        <w:rPr>
          <w:sz w:val="24"/>
          <w:szCs w:val="24"/>
        </w:rPr>
      </w:pPr>
      <w:r>
        <w:t> </w:t>
      </w:r>
    </w:p>
    <w:p w14:paraId="2A67B004" w14:textId="77777777" w:rsidR="00D246A9" w:rsidRDefault="00D246A9" w:rsidP="00B4165A">
      <w:pPr>
        <w:pStyle w:val="Heading3"/>
      </w:pPr>
      <w:bookmarkStart w:id="6" w:name="toc356108_7"/>
      <w:bookmarkEnd w:id="6"/>
      <w:r>
        <w:t xml:space="preserve">Director Compensation </w:t>
      </w:r>
    </w:p>
    <w:p w14:paraId="66D86490"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Compensation Committee periodically reviews the regular annual retainer paid to non-employee directors and makes recommendations for adjustments, as appropriate, to the full Board. Our objective for compensation to non-employee directors is to </w:t>
      </w:r>
      <w:proofErr w:type="gramStart"/>
      <w:r>
        <w:rPr>
          <w:rFonts w:ascii="Arial" w:hAnsi="Arial" w:cs="Arial"/>
          <w:sz w:val="18"/>
          <w:szCs w:val="18"/>
        </w:rPr>
        <w:t>award</w:t>
      </w:r>
      <w:proofErr w:type="gramEnd"/>
      <w:r>
        <w:rPr>
          <w:rFonts w:ascii="Arial" w:hAnsi="Arial" w:cs="Arial"/>
          <w:sz w:val="18"/>
          <w:szCs w:val="18"/>
        </w:rPr>
        <w:t xml:space="preserve"> the majority of compensation in equity and to make meaningful adjustments every few years, rather than smaller adjustments that are more frequent. There was no change in fiscal year 2023. Our CEO, Mr. Nadella does not receive pay for serving as a director or as Board Chairman. </w:t>
      </w:r>
    </w:p>
    <w:p w14:paraId="1696E3B9"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9716"/>
        <w:gridCol w:w="1084"/>
      </w:tblGrid>
      <w:tr w:rsidR="00D246A9" w14:paraId="2E7ED934" w14:textId="77777777" w:rsidTr="00FE0A0A">
        <w:trPr>
          <w:tblHeader/>
        </w:trPr>
        <w:tc>
          <w:tcPr>
            <w:tcW w:w="9716" w:type="dxa"/>
            <w:vAlign w:val="center"/>
            <w:hideMark/>
          </w:tcPr>
          <w:p w14:paraId="35AAE9E7" w14:textId="77777777" w:rsidR="00D246A9" w:rsidRDefault="00D246A9"/>
        </w:tc>
        <w:tc>
          <w:tcPr>
            <w:tcW w:w="1084" w:type="dxa"/>
            <w:vAlign w:val="center"/>
            <w:hideMark/>
          </w:tcPr>
          <w:p w14:paraId="78DC1782" w14:textId="77777777" w:rsidR="00D246A9" w:rsidRDefault="00D246A9">
            <w:pPr>
              <w:rPr>
                <w:sz w:val="20"/>
              </w:rPr>
            </w:pPr>
          </w:p>
        </w:tc>
      </w:tr>
      <w:tr w:rsidR="00D246A9" w14:paraId="0DF96D33" w14:textId="77777777" w:rsidTr="00FE0A0A">
        <w:trPr>
          <w:cantSplit/>
          <w:tblHeader/>
        </w:trPr>
        <w:tc>
          <w:tcPr>
            <w:tcW w:w="10800" w:type="dxa"/>
            <w:gridSpan w:val="2"/>
            <w:tcBorders>
              <w:bottom w:val="single" w:sz="8" w:space="0" w:color="000000"/>
            </w:tcBorders>
            <w:tcMar>
              <w:top w:w="0" w:type="dxa"/>
              <w:left w:w="0" w:type="dxa"/>
              <w:bottom w:w="40" w:type="dxa"/>
              <w:right w:w="0" w:type="dxa"/>
            </w:tcMar>
            <w:vAlign w:val="bottom"/>
            <w:hideMark/>
          </w:tcPr>
          <w:p w14:paraId="535F66D9" w14:textId="77777777" w:rsidR="00D246A9" w:rsidRPr="00306F7C" w:rsidRDefault="00D246A9">
            <w:pPr>
              <w:pStyle w:val="NormalWeb"/>
              <w:keepNext/>
              <w:spacing w:before="0" w:beforeAutospacing="0" w:after="20" w:afterAutospacing="0"/>
              <w:ind w:firstLine="96"/>
              <w:rPr>
                <w:rFonts w:ascii="Arial" w:hAnsi="Arial" w:cs="Arial"/>
                <w:sz w:val="20"/>
                <w:szCs w:val="20"/>
              </w:rPr>
            </w:pPr>
            <w:r>
              <w:rPr>
                <w:rFonts w:ascii="Arial" w:hAnsi="Arial" w:cs="Arial"/>
                <w:b/>
                <w:bCs/>
                <w:sz w:val="20"/>
                <w:szCs w:val="20"/>
              </w:rPr>
              <w:t>Fiscal Year 2023 Compensation Structure for Non-Employee Directors</w:t>
            </w:r>
          </w:p>
        </w:tc>
      </w:tr>
      <w:tr w:rsidR="00840D7E" w14:paraId="1467A620" w14:textId="77777777" w:rsidTr="00572FFC">
        <w:trPr>
          <w:cantSplit/>
        </w:trPr>
        <w:tc>
          <w:tcPr>
            <w:tcW w:w="10800" w:type="dxa"/>
            <w:gridSpan w:val="2"/>
            <w:tcBorders>
              <w:bottom w:val="single" w:sz="6" w:space="0" w:color="0075C9"/>
            </w:tcBorders>
            <w:tcMar>
              <w:top w:w="0" w:type="dxa"/>
              <w:left w:w="0" w:type="dxa"/>
              <w:bottom w:w="40" w:type="dxa"/>
              <w:right w:w="0" w:type="dxa"/>
            </w:tcMar>
            <w:hideMark/>
          </w:tcPr>
          <w:p w14:paraId="7CC7B495" w14:textId="21F83206" w:rsidR="00840D7E" w:rsidRDefault="00840D7E">
            <w:pPr>
              <w:rPr>
                <w:rFonts w:ascii="Arial" w:hAnsi="Arial" w:cs="Arial"/>
                <w:sz w:val="18"/>
                <w:szCs w:val="18"/>
              </w:rPr>
            </w:pPr>
            <w:r>
              <w:rPr>
                <w:rFonts w:ascii="Arial" w:hAnsi="Arial" w:cs="Arial"/>
                <w:b/>
                <w:bCs/>
                <w:color w:val="0075C9"/>
                <w:sz w:val="18"/>
                <w:szCs w:val="18"/>
              </w:rPr>
              <w:t>Regular Retainers</w:t>
            </w:r>
          </w:p>
        </w:tc>
      </w:tr>
      <w:tr w:rsidR="00D246A9" w14:paraId="09761CE8" w14:textId="77777777" w:rsidTr="00FE0A0A">
        <w:trPr>
          <w:cantSplit/>
        </w:trPr>
        <w:tc>
          <w:tcPr>
            <w:tcW w:w="9716" w:type="dxa"/>
            <w:tcBorders>
              <w:bottom w:val="single" w:sz="6" w:space="0" w:color="595959"/>
            </w:tcBorders>
            <w:tcMar>
              <w:top w:w="0" w:type="dxa"/>
              <w:left w:w="0" w:type="dxa"/>
              <w:bottom w:w="40" w:type="dxa"/>
              <w:right w:w="0" w:type="dxa"/>
            </w:tcMar>
            <w:hideMark/>
          </w:tcPr>
          <w:p w14:paraId="669F9080"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Annual Base Retainer (TOTAL)</w:t>
            </w:r>
          </w:p>
        </w:tc>
        <w:tc>
          <w:tcPr>
            <w:tcW w:w="1084" w:type="dxa"/>
            <w:tcBorders>
              <w:bottom w:val="single" w:sz="6" w:space="0" w:color="595959"/>
            </w:tcBorders>
            <w:noWrap/>
            <w:tcMar>
              <w:top w:w="0" w:type="dxa"/>
              <w:left w:w="144" w:type="dxa"/>
              <w:bottom w:w="0" w:type="dxa"/>
              <w:right w:w="0" w:type="dxa"/>
            </w:tcMar>
            <w:vAlign w:val="bottom"/>
            <w:hideMark/>
          </w:tcPr>
          <w:p w14:paraId="1277654E"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$360,000</w:t>
            </w:r>
            <w:r>
              <w:rPr>
                <w:rFonts w:ascii="Arial" w:hAnsi="Arial" w:cs="Arial"/>
                <w:sz w:val="18"/>
                <w:szCs w:val="18"/>
              </w:rPr>
              <w:tab/>
            </w:r>
          </w:p>
        </w:tc>
      </w:tr>
      <w:tr w:rsidR="00D246A9" w14:paraId="0615213E" w14:textId="77777777" w:rsidTr="00FE0A0A">
        <w:trPr>
          <w:cantSplit/>
        </w:trPr>
        <w:tc>
          <w:tcPr>
            <w:tcW w:w="9716" w:type="dxa"/>
            <w:tcBorders>
              <w:bottom w:val="single" w:sz="6" w:space="0" w:color="595959"/>
            </w:tcBorders>
            <w:tcMar>
              <w:top w:w="0" w:type="dxa"/>
              <w:left w:w="0" w:type="dxa"/>
              <w:bottom w:w="40" w:type="dxa"/>
              <w:right w:w="0" w:type="dxa"/>
            </w:tcMar>
            <w:hideMark/>
          </w:tcPr>
          <w:p w14:paraId="29F5D85D" w14:textId="77777777" w:rsidR="00D246A9" w:rsidRPr="00306F7C" w:rsidRDefault="00D246A9">
            <w:pPr>
              <w:pStyle w:val="NormalWeb"/>
              <w:spacing w:before="0" w:beforeAutospacing="0" w:after="0" w:afterAutospacing="0"/>
              <w:ind w:left="586" w:hanging="240"/>
              <w:rPr>
                <w:rFonts w:ascii="Arial" w:hAnsi="Arial" w:cs="Arial"/>
                <w:sz w:val="18"/>
                <w:szCs w:val="18"/>
              </w:rPr>
            </w:pPr>
            <w:r>
              <w:rPr>
                <w:rFonts w:ascii="Arial" w:hAnsi="Arial" w:cs="Arial"/>
                <w:sz w:val="18"/>
                <w:szCs w:val="18"/>
              </w:rPr>
              <w:t>Cash</w:t>
            </w:r>
          </w:p>
        </w:tc>
        <w:tc>
          <w:tcPr>
            <w:tcW w:w="1084" w:type="dxa"/>
            <w:tcBorders>
              <w:bottom w:val="single" w:sz="6" w:space="0" w:color="595959"/>
            </w:tcBorders>
            <w:noWrap/>
            <w:tcMar>
              <w:top w:w="0" w:type="dxa"/>
              <w:left w:w="144" w:type="dxa"/>
              <w:bottom w:w="0" w:type="dxa"/>
              <w:right w:w="0" w:type="dxa"/>
            </w:tcMar>
            <w:vAlign w:val="bottom"/>
            <w:hideMark/>
          </w:tcPr>
          <w:p w14:paraId="577A3376"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$125,000</w:t>
            </w:r>
            <w:r>
              <w:rPr>
                <w:rFonts w:ascii="Arial" w:hAnsi="Arial" w:cs="Arial"/>
                <w:sz w:val="18"/>
                <w:szCs w:val="18"/>
              </w:rPr>
              <w:tab/>
            </w:r>
          </w:p>
        </w:tc>
      </w:tr>
      <w:tr w:rsidR="00D246A9" w14:paraId="49F19544" w14:textId="77777777" w:rsidTr="00FE0A0A">
        <w:trPr>
          <w:cantSplit/>
        </w:trPr>
        <w:tc>
          <w:tcPr>
            <w:tcW w:w="9716" w:type="dxa"/>
            <w:tcBorders>
              <w:bottom w:val="single" w:sz="6" w:space="0" w:color="0075C9"/>
            </w:tcBorders>
            <w:tcMar>
              <w:top w:w="0" w:type="dxa"/>
              <w:left w:w="0" w:type="dxa"/>
              <w:bottom w:w="40" w:type="dxa"/>
              <w:right w:w="0" w:type="dxa"/>
            </w:tcMar>
            <w:hideMark/>
          </w:tcPr>
          <w:p w14:paraId="68FFB0AE" w14:textId="77777777" w:rsidR="00D246A9" w:rsidRPr="00306F7C" w:rsidRDefault="00D246A9">
            <w:pPr>
              <w:pStyle w:val="NormalWeb"/>
              <w:spacing w:before="0" w:beforeAutospacing="0" w:after="0" w:afterAutospacing="0"/>
              <w:ind w:left="586" w:hanging="240"/>
              <w:rPr>
                <w:rFonts w:ascii="Arial" w:hAnsi="Arial" w:cs="Arial"/>
                <w:sz w:val="18"/>
                <w:szCs w:val="18"/>
              </w:rPr>
            </w:pPr>
            <w:r>
              <w:rPr>
                <w:rFonts w:ascii="Arial" w:hAnsi="Arial" w:cs="Arial"/>
                <w:sz w:val="18"/>
                <w:szCs w:val="18"/>
              </w:rPr>
              <w:t>Stock Award</w:t>
            </w:r>
          </w:p>
        </w:tc>
        <w:tc>
          <w:tcPr>
            <w:tcW w:w="1084" w:type="dxa"/>
            <w:tcBorders>
              <w:bottom w:val="single" w:sz="6" w:space="0" w:color="0075C9"/>
            </w:tcBorders>
            <w:noWrap/>
            <w:tcMar>
              <w:top w:w="0" w:type="dxa"/>
              <w:left w:w="144" w:type="dxa"/>
              <w:bottom w:w="0" w:type="dxa"/>
              <w:right w:w="0" w:type="dxa"/>
            </w:tcMar>
            <w:vAlign w:val="bottom"/>
            <w:hideMark/>
          </w:tcPr>
          <w:p w14:paraId="3429FD92"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$235,000</w:t>
            </w:r>
            <w:r>
              <w:rPr>
                <w:rFonts w:ascii="Arial" w:hAnsi="Arial" w:cs="Arial"/>
                <w:sz w:val="18"/>
                <w:szCs w:val="18"/>
              </w:rPr>
              <w:tab/>
            </w:r>
          </w:p>
        </w:tc>
      </w:tr>
      <w:tr w:rsidR="00840D7E" w14:paraId="56EFE4FD" w14:textId="77777777" w:rsidTr="009C3C87">
        <w:trPr>
          <w:cantSplit/>
        </w:trPr>
        <w:tc>
          <w:tcPr>
            <w:tcW w:w="10800" w:type="dxa"/>
            <w:gridSpan w:val="2"/>
            <w:tcBorders>
              <w:bottom w:val="single" w:sz="6" w:space="0" w:color="0075C9"/>
            </w:tcBorders>
            <w:tcMar>
              <w:top w:w="0" w:type="dxa"/>
              <w:left w:w="0" w:type="dxa"/>
              <w:bottom w:w="40" w:type="dxa"/>
              <w:right w:w="0" w:type="dxa"/>
            </w:tcMar>
            <w:hideMark/>
          </w:tcPr>
          <w:p w14:paraId="2475D16C" w14:textId="3BFD41F0" w:rsidR="00840D7E" w:rsidRDefault="00840D7E">
            <w:pPr>
              <w:rPr>
                <w:rFonts w:ascii="Arial" w:hAnsi="Arial" w:cs="Arial"/>
                <w:sz w:val="18"/>
                <w:szCs w:val="18"/>
              </w:rPr>
            </w:pPr>
            <w:r>
              <w:rPr>
                <w:rFonts w:ascii="Arial" w:hAnsi="Arial" w:cs="Arial"/>
                <w:b/>
                <w:bCs/>
                <w:color w:val="0075C9"/>
                <w:sz w:val="18"/>
                <w:szCs w:val="18"/>
              </w:rPr>
              <w:t>Committee Retainers</w:t>
            </w:r>
            <w:r>
              <w:rPr>
                <w:rFonts w:ascii="Arial" w:hAnsi="Arial" w:cs="Arial"/>
                <w:sz w:val="18"/>
                <w:szCs w:val="18"/>
              </w:rPr>
              <w:t xml:space="preserve"> (cash except stock award for Governance and Nominating Committee)</w:t>
            </w:r>
          </w:p>
        </w:tc>
      </w:tr>
      <w:tr w:rsidR="00D246A9" w14:paraId="004D291A" w14:textId="77777777" w:rsidTr="00FE0A0A">
        <w:trPr>
          <w:cantSplit/>
        </w:trPr>
        <w:tc>
          <w:tcPr>
            <w:tcW w:w="9716" w:type="dxa"/>
            <w:tcBorders>
              <w:bottom w:val="single" w:sz="6" w:space="0" w:color="595959"/>
            </w:tcBorders>
            <w:tcMar>
              <w:top w:w="0" w:type="dxa"/>
              <w:left w:w="0" w:type="dxa"/>
              <w:bottom w:w="40" w:type="dxa"/>
              <w:right w:w="0" w:type="dxa"/>
            </w:tcMar>
            <w:hideMark/>
          </w:tcPr>
          <w:p w14:paraId="52DE0914"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Audit Committee Chair Retainer</w:t>
            </w:r>
          </w:p>
        </w:tc>
        <w:tc>
          <w:tcPr>
            <w:tcW w:w="1084" w:type="dxa"/>
            <w:tcBorders>
              <w:bottom w:val="single" w:sz="6" w:space="0" w:color="595959"/>
            </w:tcBorders>
            <w:noWrap/>
            <w:tcMar>
              <w:top w:w="0" w:type="dxa"/>
              <w:left w:w="144" w:type="dxa"/>
              <w:bottom w:w="0" w:type="dxa"/>
              <w:right w:w="0" w:type="dxa"/>
            </w:tcMar>
            <w:vAlign w:val="bottom"/>
            <w:hideMark/>
          </w:tcPr>
          <w:p w14:paraId="2B0F2D64"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$45,000</w:t>
            </w:r>
            <w:r>
              <w:rPr>
                <w:rFonts w:ascii="Arial" w:hAnsi="Arial" w:cs="Arial"/>
                <w:sz w:val="18"/>
                <w:szCs w:val="18"/>
              </w:rPr>
              <w:tab/>
            </w:r>
          </w:p>
        </w:tc>
      </w:tr>
      <w:tr w:rsidR="00D246A9" w14:paraId="36B7AD9B" w14:textId="77777777" w:rsidTr="00FE0A0A">
        <w:trPr>
          <w:cantSplit/>
        </w:trPr>
        <w:tc>
          <w:tcPr>
            <w:tcW w:w="9716" w:type="dxa"/>
            <w:tcBorders>
              <w:bottom w:val="single" w:sz="6" w:space="0" w:color="595959"/>
            </w:tcBorders>
            <w:tcMar>
              <w:top w:w="0" w:type="dxa"/>
              <w:left w:w="0" w:type="dxa"/>
              <w:bottom w:w="40" w:type="dxa"/>
              <w:right w:w="0" w:type="dxa"/>
            </w:tcMar>
            <w:hideMark/>
          </w:tcPr>
          <w:p w14:paraId="5975E015"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Audit Committee Non-Chair Member Retainer</w:t>
            </w:r>
          </w:p>
        </w:tc>
        <w:tc>
          <w:tcPr>
            <w:tcW w:w="1084" w:type="dxa"/>
            <w:tcBorders>
              <w:bottom w:val="single" w:sz="6" w:space="0" w:color="595959"/>
            </w:tcBorders>
            <w:noWrap/>
            <w:tcMar>
              <w:top w:w="0" w:type="dxa"/>
              <w:left w:w="144" w:type="dxa"/>
              <w:bottom w:w="0" w:type="dxa"/>
              <w:right w:w="0" w:type="dxa"/>
            </w:tcMar>
            <w:vAlign w:val="bottom"/>
            <w:hideMark/>
          </w:tcPr>
          <w:p w14:paraId="1A22738D"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$15,000</w:t>
            </w:r>
            <w:r>
              <w:rPr>
                <w:rFonts w:ascii="Arial" w:hAnsi="Arial" w:cs="Arial"/>
                <w:sz w:val="18"/>
                <w:szCs w:val="18"/>
              </w:rPr>
              <w:tab/>
            </w:r>
          </w:p>
        </w:tc>
      </w:tr>
      <w:tr w:rsidR="00D246A9" w14:paraId="10E77BAF" w14:textId="77777777" w:rsidTr="00FE0A0A">
        <w:trPr>
          <w:cantSplit/>
        </w:trPr>
        <w:tc>
          <w:tcPr>
            <w:tcW w:w="9716" w:type="dxa"/>
            <w:tcBorders>
              <w:bottom w:val="single" w:sz="6" w:space="0" w:color="595959"/>
            </w:tcBorders>
            <w:tcMar>
              <w:top w:w="0" w:type="dxa"/>
              <w:left w:w="0" w:type="dxa"/>
              <w:bottom w:w="40" w:type="dxa"/>
              <w:right w:w="0" w:type="dxa"/>
            </w:tcMar>
            <w:hideMark/>
          </w:tcPr>
          <w:p w14:paraId="73E88219"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Compensation Committee Chair Retainer</w:t>
            </w:r>
          </w:p>
        </w:tc>
        <w:tc>
          <w:tcPr>
            <w:tcW w:w="1084" w:type="dxa"/>
            <w:tcBorders>
              <w:bottom w:val="single" w:sz="6" w:space="0" w:color="595959"/>
            </w:tcBorders>
            <w:noWrap/>
            <w:tcMar>
              <w:top w:w="0" w:type="dxa"/>
              <w:left w:w="144" w:type="dxa"/>
              <w:bottom w:w="0" w:type="dxa"/>
              <w:right w:w="0" w:type="dxa"/>
            </w:tcMar>
            <w:vAlign w:val="bottom"/>
            <w:hideMark/>
          </w:tcPr>
          <w:p w14:paraId="39D3E43B"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$35,000</w:t>
            </w:r>
            <w:r>
              <w:rPr>
                <w:rFonts w:ascii="Arial" w:hAnsi="Arial" w:cs="Arial"/>
                <w:sz w:val="18"/>
                <w:szCs w:val="18"/>
              </w:rPr>
              <w:tab/>
            </w:r>
          </w:p>
        </w:tc>
      </w:tr>
      <w:tr w:rsidR="00D246A9" w14:paraId="69B5D84F" w14:textId="77777777" w:rsidTr="00FE0A0A">
        <w:trPr>
          <w:cantSplit/>
        </w:trPr>
        <w:tc>
          <w:tcPr>
            <w:tcW w:w="9716" w:type="dxa"/>
            <w:tcBorders>
              <w:bottom w:val="single" w:sz="6" w:space="0" w:color="595959"/>
            </w:tcBorders>
            <w:tcMar>
              <w:top w:w="0" w:type="dxa"/>
              <w:left w:w="0" w:type="dxa"/>
              <w:bottom w:w="40" w:type="dxa"/>
              <w:right w:w="0" w:type="dxa"/>
            </w:tcMar>
            <w:hideMark/>
          </w:tcPr>
          <w:p w14:paraId="1F4B979E"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Environmental, Social, and Public Policy Committee Chair Retainer</w:t>
            </w:r>
          </w:p>
        </w:tc>
        <w:tc>
          <w:tcPr>
            <w:tcW w:w="1084" w:type="dxa"/>
            <w:tcBorders>
              <w:bottom w:val="single" w:sz="6" w:space="0" w:color="595959"/>
            </w:tcBorders>
            <w:noWrap/>
            <w:tcMar>
              <w:top w:w="0" w:type="dxa"/>
              <w:left w:w="144" w:type="dxa"/>
              <w:bottom w:w="0" w:type="dxa"/>
              <w:right w:w="0" w:type="dxa"/>
            </w:tcMar>
            <w:vAlign w:val="bottom"/>
            <w:hideMark/>
          </w:tcPr>
          <w:p w14:paraId="32044AC9"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$25,000</w:t>
            </w:r>
            <w:r>
              <w:rPr>
                <w:rFonts w:ascii="Arial" w:hAnsi="Arial" w:cs="Arial"/>
                <w:sz w:val="18"/>
                <w:szCs w:val="18"/>
              </w:rPr>
              <w:tab/>
            </w:r>
          </w:p>
        </w:tc>
      </w:tr>
      <w:tr w:rsidR="00D246A9" w14:paraId="12F82C4D" w14:textId="77777777" w:rsidTr="00FE0A0A">
        <w:trPr>
          <w:cantSplit/>
        </w:trPr>
        <w:tc>
          <w:tcPr>
            <w:tcW w:w="9716" w:type="dxa"/>
            <w:tcBorders>
              <w:bottom w:val="single" w:sz="6" w:space="0" w:color="595959"/>
            </w:tcBorders>
            <w:tcMar>
              <w:top w:w="0" w:type="dxa"/>
              <w:left w:w="0" w:type="dxa"/>
              <w:bottom w:w="40" w:type="dxa"/>
              <w:right w:w="0" w:type="dxa"/>
            </w:tcMar>
            <w:hideMark/>
          </w:tcPr>
          <w:p w14:paraId="20FDF424"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Governance and Nominating Committee Chair Retainer</w:t>
            </w:r>
          </w:p>
        </w:tc>
        <w:tc>
          <w:tcPr>
            <w:tcW w:w="1084" w:type="dxa"/>
            <w:tcBorders>
              <w:bottom w:val="single" w:sz="6" w:space="0" w:color="595959"/>
            </w:tcBorders>
            <w:noWrap/>
            <w:tcMar>
              <w:top w:w="0" w:type="dxa"/>
              <w:left w:w="144" w:type="dxa"/>
              <w:bottom w:w="0" w:type="dxa"/>
              <w:right w:w="0" w:type="dxa"/>
            </w:tcMar>
            <w:vAlign w:val="bottom"/>
            <w:hideMark/>
          </w:tcPr>
          <w:p w14:paraId="498BCB04"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$25,000</w:t>
            </w:r>
            <w:r>
              <w:rPr>
                <w:rFonts w:ascii="Arial" w:hAnsi="Arial" w:cs="Arial"/>
                <w:sz w:val="18"/>
                <w:szCs w:val="18"/>
              </w:rPr>
              <w:tab/>
            </w:r>
          </w:p>
        </w:tc>
      </w:tr>
      <w:tr w:rsidR="00D246A9" w14:paraId="1D67D537" w14:textId="77777777" w:rsidTr="00FE0A0A">
        <w:trPr>
          <w:cantSplit/>
        </w:trPr>
        <w:tc>
          <w:tcPr>
            <w:tcW w:w="9716" w:type="dxa"/>
            <w:tcBorders>
              <w:bottom w:val="single" w:sz="6" w:space="0" w:color="0075C9"/>
            </w:tcBorders>
            <w:tcMar>
              <w:top w:w="0" w:type="dxa"/>
              <w:left w:w="0" w:type="dxa"/>
              <w:bottom w:w="40" w:type="dxa"/>
              <w:right w:w="0" w:type="dxa"/>
            </w:tcMar>
            <w:hideMark/>
          </w:tcPr>
          <w:p w14:paraId="5DCE3D68"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Lead Independent Director Retainer</w:t>
            </w:r>
            <w:r>
              <w:rPr>
                <w:rFonts w:ascii="Arial" w:hAnsi="Arial" w:cs="Arial"/>
                <w:sz w:val="18"/>
                <w:szCs w:val="18"/>
              </w:rPr>
              <w:t xml:space="preserve"> (stock award in addition to other retainers)</w:t>
            </w:r>
          </w:p>
        </w:tc>
        <w:tc>
          <w:tcPr>
            <w:tcW w:w="1084" w:type="dxa"/>
            <w:tcBorders>
              <w:bottom w:val="single" w:sz="6" w:space="0" w:color="0075C9"/>
            </w:tcBorders>
            <w:noWrap/>
            <w:tcMar>
              <w:top w:w="0" w:type="dxa"/>
              <w:left w:w="144" w:type="dxa"/>
              <w:bottom w:w="0" w:type="dxa"/>
              <w:right w:w="0" w:type="dxa"/>
            </w:tcMar>
            <w:vAlign w:val="bottom"/>
            <w:hideMark/>
          </w:tcPr>
          <w:p w14:paraId="4C16AFEC"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$40,000</w:t>
            </w:r>
            <w:r>
              <w:rPr>
                <w:rFonts w:ascii="Arial" w:hAnsi="Arial" w:cs="Arial"/>
                <w:sz w:val="18"/>
                <w:szCs w:val="18"/>
              </w:rPr>
              <w:tab/>
            </w:r>
          </w:p>
        </w:tc>
      </w:tr>
    </w:tbl>
    <w:p w14:paraId="336B68B6" w14:textId="77777777"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Company reimburses reasonable expenses incurred for Board-related activities. Directors may participate in our corporate matching gift program for charitable donations. </w:t>
      </w:r>
    </w:p>
    <w:p w14:paraId="3A9CDDC4" w14:textId="77777777" w:rsidR="00D246A9" w:rsidRDefault="00D246A9">
      <w:pPr>
        <w:pStyle w:val="NormalWeb"/>
        <w:spacing w:before="90" w:beforeAutospacing="0" w:after="0" w:afterAutospacing="0"/>
        <w:rPr>
          <w:sz w:val="2"/>
          <w:szCs w:val="2"/>
        </w:rPr>
      </w:pPr>
      <w:r>
        <w:rPr>
          <w:sz w:val="2"/>
          <w:szCs w:val="2"/>
        </w:rPr>
        <w:t> </w:t>
      </w:r>
    </w:p>
    <w:p w14:paraId="2EF48544"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Director retainers are paid quarterly in arrears. Quarterly periods are measured beginning with the annual shareholders meeting. At the end of each quarterly period, we pay 25% of the total annual retainer to each director. The number of shares awarded each quarterly period is determined by dividing the dollar value of the stock award by the market price of our common stock as of the last business day of the period. Retainers are pro-rated for directors who join or leave the Board or have a change in Board role during a quarterly period. </w:t>
      </w:r>
    </w:p>
    <w:p w14:paraId="75A94C1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Directors may elect to defer and convert to deferred stock awards all or part of their annual cash retainer, and to defer receipt of all or part of their annual stock awards retainer under the Deferred Compensation Plan for Non-Employee Directors. Amounts deferred are maintained in bookkeeping accounts that are deemed invested in Microsoft common stock, and dividends paid on deemed investments are also deemed to be invested in our common stock. We calculate the number of shares credited by dividing the amount deferred by the closing market price of our common stock on the originally scheduled payment date. Accounts in the plan are distributed in shares of Microsoft common stock, with payments either in installments beginning on separation from Board service or in a lump sum paid no later than the fifth anniversary after separation from Board service. </w:t>
      </w:r>
    </w:p>
    <w:p w14:paraId="7AD98FCE" w14:textId="77777777" w:rsidR="00D246A9" w:rsidRDefault="00D246A9" w:rsidP="006309E1">
      <w:pPr>
        <w:pStyle w:val="Heading4"/>
      </w:pPr>
      <w:r>
        <w:lastRenderedPageBreak/>
        <w:t xml:space="preserve">Director Compensation </w:t>
      </w:r>
    </w:p>
    <w:p w14:paraId="076ED68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describes the cash and stock award portions of the annual retainer paid to each non-employee director who served in fiscal year 2023. Mr. Nadella received no compensation as a director or Board Chairman. He is excluded from the table because we fully describe his compensation in Part 2 – Named Executive Officer Compensation. </w:t>
      </w:r>
    </w:p>
    <w:p w14:paraId="4229139F"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484"/>
        <w:gridCol w:w="1744"/>
        <w:gridCol w:w="2024"/>
        <w:gridCol w:w="2104"/>
        <w:gridCol w:w="1444"/>
      </w:tblGrid>
      <w:tr w:rsidR="00D246A9" w14:paraId="5795EEEC" w14:textId="77777777" w:rsidTr="00FE0A0A">
        <w:trPr>
          <w:cantSplit/>
          <w:tblHeader/>
        </w:trPr>
        <w:tc>
          <w:tcPr>
            <w:tcW w:w="3484" w:type="dxa"/>
            <w:tcBorders>
              <w:bottom w:val="single" w:sz="8" w:space="0" w:color="000000"/>
            </w:tcBorders>
            <w:tcMar>
              <w:top w:w="0" w:type="dxa"/>
              <w:left w:w="0" w:type="dxa"/>
              <w:bottom w:w="40" w:type="dxa"/>
              <w:right w:w="0" w:type="dxa"/>
            </w:tcMar>
            <w:vAlign w:val="bottom"/>
            <w:hideMark/>
          </w:tcPr>
          <w:p w14:paraId="584A953F" w14:textId="77777777" w:rsidR="00D246A9" w:rsidRPr="00306F7C" w:rsidRDefault="00D246A9">
            <w:pPr>
              <w:pStyle w:val="NormalWeb"/>
              <w:keepNext/>
              <w:spacing w:before="0" w:beforeAutospacing="0" w:after="20" w:afterAutospacing="0"/>
              <w:ind w:firstLine="96"/>
              <w:rPr>
                <w:rFonts w:ascii="Arial" w:hAnsi="Arial" w:cs="Arial"/>
                <w:sz w:val="20"/>
                <w:szCs w:val="20"/>
              </w:rPr>
            </w:pPr>
            <w:r>
              <w:rPr>
                <w:rFonts w:ascii="Arial" w:hAnsi="Arial" w:cs="Arial"/>
                <w:b/>
                <w:bCs/>
                <w:sz w:val="20"/>
                <w:szCs w:val="20"/>
              </w:rPr>
              <w:t>Name</w:t>
            </w:r>
          </w:p>
        </w:tc>
        <w:tc>
          <w:tcPr>
            <w:tcW w:w="1744" w:type="dxa"/>
            <w:tcBorders>
              <w:bottom w:val="single" w:sz="8" w:space="0" w:color="000000"/>
            </w:tcBorders>
            <w:tcMar>
              <w:top w:w="0" w:type="dxa"/>
              <w:left w:w="144" w:type="dxa"/>
              <w:bottom w:w="0" w:type="dxa"/>
              <w:right w:w="0" w:type="dxa"/>
            </w:tcMar>
            <w:vAlign w:val="bottom"/>
            <w:hideMark/>
          </w:tcPr>
          <w:p w14:paraId="404C79AA" w14:textId="77777777" w:rsidR="00D246A9" w:rsidRDefault="00D246A9">
            <w:pPr>
              <w:pStyle w:val="NormalWeb"/>
              <w:spacing w:before="0" w:beforeAutospacing="0" w:after="0" w:afterAutospacing="0"/>
              <w:jc w:val="right"/>
              <w:rPr>
                <w:rFonts w:ascii="Arial" w:hAnsi="Arial" w:cs="Arial"/>
                <w:sz w:val="20"/>
                <w:szCs w:val="20"/>
              </w:rPr>
            </w:pPr>
            <w:r>
              <w:rPr>
                <w:rFonts w:ascii="Arial" w:hAnsi="Arial" w:cs="Arial"/>
                <w:b/>
                <w:bCs/>
                <w:sz w:val="20"/>
                <w:szCs w:val="20"/>
              </w:rPr>
              <w:t>Fees Earned or</w:t>
            </w:r>
          </w:p>
          <w:p w14:paraId="50E43830" w14:textId="77777777" w:rsidR="00D246A9" w:rsidRDefault="00D246A9">
            <w:pPr>
              <w:pStyle w:val="NormalWeb"/>
              <w:spacing w:before="0" w:beforeAutospacing="0" w:after="0" w:afterAutospacing="0"/>
              <w:jc w:val="right"/>
              <w:rPr>
                <w:rFonts w:ascii="Arial" w:hAnsi="Arial" w:cs="Arial"/>
                <w:sz w:val="20"/>
                <w:szCs w:val="20"/>
              </w:rPr>
            </w:pPr>
            <w:r>
              <w:rPr>
                <w:rFonts w:ascii="Arial" w:hAnsi="Arial" w:cs="Arial"/>
                <w:b/>
                <w:bCs/>
                <w:sz w:val="20"/>
                <w:szCs w:val="20"/>
              </w:rPr>
              <w:t>Paid in Cash¹</w:t>
            </w:r>
          </w:p>
          <w:p w14:paraId="5E4C6393" w14:textId="77777777" w:rsidR="00D246A9" w:rsidRDefault="00D246A9">
            <w:pPr>
              <w:pStyle w:val="NormalWeb"/>
              <w:spacing w:before="0" w:beforeAutospacing="0" w:after="20" w:afterAutospacing="0"/>
              <w:jc w:val="right"/>
              <w:rPr>
                <w:rFonts w:ascii="Arial" w:hAnsi="Arial" w:cs="Arial"/>
                <w:sz w:val="20"/>
                <w:szCs w:val="20"/>
              </w:rPr>
            </w:pPr>
            <w:r>
              <w:rPr>
                <w:rFonts w:ascii="Arial" w:hAnsi="Arial" w:cs="Arial"/>
                <w:b/>
                <w:bCs/>
                <w:sz w:val="20"/>
                <w:szCs w:val="20"/>
              </w:rPr>
              <w:t>($)</w:t>
            </w:r>
          </w:p>
        </w:tc>
        <w:tc>
          <w:tcPr>
            <w:tcW w:w="2024" w:type="dxa"/>
            <w:tcBorders>
              <w:bottom w:val="single" w:sz="8" w:space="0" w:color="000000"/>
            </w:tcBorders>
            <w:tcMar>
              <w:top w:w="0" w:type="dxa"/>
              <w:left w:w="144" w:type="dxa"/>
              <w:bottom w:w="0" w:type="dxa"/>
              <w:right w:w="0" w:type="dxa"/>
            </w:tcMar>
            <w:vAlign w:val="bottom"/>
            <w:hideMark/>
          </w:tcPr>
          <w:p w14:paraId="3394EBF3" w14:textId="77777777" w:rsidR="00D246A9" w:rsidRDefault="00D246A9">
            <w:pPr>
              <w:pStyle w:val="NormalWeb"/>
              <w:spacing w:before="0" w:beforeAutospacing="0" w:after="0" w:afterAutospacing="0"/>
              <w:jc w:val="right"/>
              <w:rPr>
                <w:rFonts w:ascii="Arial" w:hAnsi="Arial" w:cs="Arial"/>
                <w:sz w:val="20"/>
                <w:szCs w:val="20"/>
              </w:rPr>
            </w:pPr>
            <w:r>
              <w:rPr>
                <w:rFonts w:ascii="Arial" w:hAnsi="Arial" w:cs="Arial"/>
                <w:b/>
                <w:bCs/>
                <w:sz w:val="20"/>
                <w:szCs w:val="20"/>
              </w:rPr>
              <w:t>Stock Awards²</w:t>
            </w:r>
          </w:p>
          <w:p w14:paraId="732C922E" w14:textId="77777777" w:rsidR="00D246A9" w:rsidRDefault="00D246A9">
            <w:pPr>
              <w:pStyle w:val="NormalWeb"/>
              <w:spacing w:before="0" w:beforeAutospacing="0" w:after="20" w:afterAutospacing="0"/>
              <w:jc w:val="right"/>
              <w:rPr>
                <w:rFonts w:ascii="Arial" w:hAnsi="Arial" w:cs="Arial"/>
                <w:sz w:val="20"/>
                <w:szCs w:val="20"/>
              </w:rPr>
            </w:pPr>
            <w:r>
              <w:rPr>
                <w:rFonts w:ascii="Arial" w:hAnsi="Arial" w:cs="Arial"/>
                <w:b/>
                <w:bCs/>
                <w:sz w:val="20"/>
                <w:szCs w:val="20"/>
              </w:rPr>
              <w:t>($)</w:t>
            </w:r>
          </w:p>
        </w:tc>
        <w:tc>
          <w:tcPr>
            <w:tcW w:w="2104" w:type="dxa"/>
            <w:tcBorders>
              <w:bottom w:val="single" w:sz="8" w:space="0" w:color="000000"/>
            </w:tcBorders>
            <w:tcMar>
              <w:top w:w="0" w:type="dxa"/>
              <w:left w:w="144" w:type="dxa"/>
              <w:bottom w:w="0" w:type="dxa"/>
              <w:right w:w="0" w:type="dxa"/>
            </w:tcMar>
            <w:vAlign w:val="bottom"/>
            <w:hideMark/>
          </w:tcPr>
          <w:p w14:paraId="0FF0E4CD" w14:textId="77777777" w:rsidR="00D246A9" w:rsidRDefault="00D246A9">
            <w:pPr>
              <w:pStyle w:val="NormalWeb"/>
              <w:spacing w:before="0" w:beforeAutospacing="0" w:after="0" w:afterAutospacing="0"/>
              <w:jc w:val="right"/>
              <w:rPr>
                <w:rFonts w:ascii="Arial" w:hAnsi="Arial" w:cs="Arial"/>
                <w:sz w:val="20"/>
                <w:szCs w:val="20"/>
              </w:rPr>
            </w:pPr>
            <w:r>
              <w:rPr>
                <w:rFonts w:ascii="Arial" w:hAnsi="Arial" w:cs="Arial"/>
                <w:b/>
                <w:bCs/>
                <w:sz w:val="20"/>
                <w:szCs w:val="20"/>
              </w:rPr>
              <w:t>All Other</w:t>
            </w:r>
          </w:p>
          <w:p w14:paraId="27864A24" w14:textId="77777777" w:rsidR="00D246A9" w:rsidRDefault="00D246A9">
            <w:pPr>
              <w:pStyle w:val="NormalWeb"/>
              <w:spacing w:before="0" w:beforeAutospacing="0" w:after="0" w:afterAutospacing="0"/>
              <w:jc w:val="right"/>
              <w:rPr>
                <w:rFonts w:ascii="Arial" w:hAnsi="Arial" w:cs="Arial"/>
                <w:sz w:val="20"/>
                <w:szCs w:val="20"/>
              </w:rPr>
            </w:pPr>
            <w:r>
              <w:rPr>
                <w:rFonts w:ascii="Arial" w:hAnsi="Arial" w:cs="Arial"/>
                <w:b/>
                <w:bCs/>
                <w:sz w:val="20"/>
                <w:szCs w:val="20"/>
              </w:rPr>
              <w:t>Compensation</w:t>
            </w:r>
            <w:r>
              <w:rPr>
                <w:rFonts w:ascii="Arial" w:hAnsi="Arial" w:cs="Arial"/>
                <w:b/>
                <w:bCs/>
                <w:sz w:val="15"/>
                <w:szCs w:val="15"/>
                <w:vertAlign w:val="superscript"/>
              </w:rPr>
              <w:t>3</w:t>
            </w:r>
          </w:p>
          <w:p w14:paraId="65D70D5C" w14:textId="77777777" w:rsidR="00D246A9" w:rsidRDefault="00D246A9">
            <w:pPr>
              <w:pStyle w:val="NormalWeb"/>
              <w:spacing w:before="0" w:beforeAutospacing="0" w:after="20" w:afterAutospacing="0"/>
              <w:jc w:val="right"/>
              <w:rPr>
                <w:rFonts w:ascii="Arial" w:hAnsi="Arial" w:cs="Arial"/>
                <w:sz w:val="20"/>
                <w:szCs w:val="20"/>
              </w:rPr>
            </w:pPr>
            <w:r>
              <w:rPr>
                <w:rFonts w:ascii="Arial" w:hAnsi="Arial" w:cs="Arial"/>
                <w:b/>
                <w:bCs/>
                <w:sz w:val="20"/>
                <w:szCs w:val="20"/>
              </w:rPr>
              <w:t>($)</w:t>
            </w:r>
          </w:p>
        </w:tc>
        <w:tc>
          <w:tcPr>
            <w:tcW w:w="1444" w:type="dxa"/>
            <w:tcBorders>
              <w:bottom w:val="single" w:sz="8" w:space="0" w:color="000000"/>
            </w:tcBorders>
            <w:tcMar>
              <w:top w:w="0" w:type="dxa"/>
              <w:left w:w="144" w:type="dxa"/>
              <w:bottom w:w="0" w:type="dxa"/>
              <w:right w:w="0" w:type="dxa"/>
            </w:tcMar>
            <w:vAlign w:val="bottom"/>
            <w:hideMark/>
          </w:tcPr>
          <w:p w14:paraId="06286ACD" w14:textId="77777777" w:rsidR="00D246A9" w:rsidRDefault="00D246A9">
            <w:pPr>
              <w:jc w:val="right"/>
              <w:rPr>
                <w:rFonts w:ascii="Arial" w:hAnsi="Arial" w:cs="Arial"/>
                <w:sz w:val="20"/>
              </w:rPr>
            </w:pPr>
            <w:r>
              <w:rPr>
                <w:rFonts w:ascii="Arial" w:hAnsi="Arial" w:cs="Arial"/>
                <w:b/>
                <w:bCs/>
                <w:sz w:val="20"/>
              </w:rPr>
              <w:t>Total</w:t>
            </w:r>
            <w:r>
              <w:rPr>
                <w:rFonts w:ascii="Arial" w:hAnsi="Arial" w:cs="Arial"/>
                <w:b/>
                <w:bCs/>
                <w:sz w:val="20"/>
              </w:rPr>
              <w:br/>
              <w:t>($)</w:t>
            </w:r>
          </w:p>
        </w:tc>
      </w:tr>
      <w:tr w:rsidR="00D246A9" w14:paraId="2A51C325" w14:textId="77777777" w:rsidTr="00FE0A0A">
        <w:trPr>
          <w:cantSplit/>
        </w:trPr>
        <w:tc>
          <w:tcPr>
            <w:tcW w:w="3484" w:type="dxa"/>
            <w:tcBorders>
              <w:bottom w:val="single" w:sz="6" w:space="0" w:color="0075C9"/>
            </w:tcBorders>
            <w:tcMar>
              <w:top w:w="0" w:type="dxa"/>
              <w:left w:w="0" w:type="dxa"/>
              <w:bottom w:w="40" w:type="dxa"/>
              <w:right w:w="0" w:type="dxa"/>
            </w:tcMar>
            <w:hideMark/>
          </w:tcPr>
          <w:p w14:paraId="01F67758" w14:textId="77777777" w:rsidR="00D246A9" w:rsidRPr="00306F7C" w:rsidRDefault="00D246A9">
            <w:pPr>
              <w:pStyle w:val="NormalWeb"/>
              <w:keepNext/>
              <w:spacing w:before="0" w:beforeAutospacing="0" w:after="0" w:afterAutospacing="0"/>
              <w:ind w:left="96"/>
              <w:rPr>
                <w:rFonts w:ascii="Arial" w:hAnsi="Arial" w:cs="Arial"/>
                <w:sz w:val="20"/>
                <w:szCs w:val="20"/>
              </w:rPr>
            </w:pPr>
            <w:r>
              <w:rPr>
                <w:rFonts w:ascii="Arial" w:hAnsi="Arial" w:cs="Arial"/>
                <w:b/>
                <w:bCs/>
                <w:color w:val="0075C9"/>
                <w:sz w:val="20"/>
                <w:szCs w:val="20"/>
              </w:rPr>
              <w:t>Reid G. Hoffman</w:t>
            </w:r>
            <w:r>
              <w:rPr>
                <w:rFonts w:ascii="Arial" w:hAnsi="Arial" w:cs="Arial"/>
                <w:b/>
                <w:bCs/>
                <w:color w:val="0075C9"/>
                <w:sz w:val="15"/>
                <w:szCs w:val="15"/>
                <w:vertAlign w:val="superscript"/>
              </w:rPr>
              <w:t>4</w:t>
            </w:r>
          </w:p>
        </w:tc>
        <w:tc>
          <w:tcPr>
            <w:tcW w:w="1744" w:type="dxa"/>
            <w:tcBorders>
              <w:bottom w:val="single" w:sz="6" w:space="0" w:color="0075C9"/>
            </w:tcBorders>
            <w:noWrap/>
            <w:tcMar>
              <w:top w:w="0" w:type="dxa"/>
              <w:left w:w="144" w:type="dxa"/>
              <w:bottom w:w="0" w:type="dxa"/>
              <w:right w:w="0" w:type="dxa"/>
            </w:tcMar>
            <w:vAlign w:val="bottom"/>
            <w:hideMark/>
          </w:tcPr>
          <w:p w14:paraId="674D1D9E"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14762E84"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14E32897" w14:textId="170EA917" w:rsidR="00D246A9" w:rsidRDefault="00840D7E">
            <w:pPr>
              <w:rPr>
                <w:rFonts w:ascii="Arial" w:hAnsi="Arial" w:cs="Arial"/>
                <w:sz w:val="20"/>
              </w:rPr>
            </w:pPr>
            <w:r w:rsidRPr="00840D7E">
              <w:rPr>
                <w:rFonts w:ascii="Arial" w:hAnsi="Arial" w:cs="Arial"/>
                <w:color w:val="FFFFFF" w:themeColor="background1"/>
                <w:sz w:val="20"/>
              </w:rPr>
              <w:t>NA</w:t>
            </w:r>
          </w:p>
        </w:tc>
        <w:tc>
          <w:tcPr>
            <w:tcW w:w="1444" w:type="dxa"/>
            <w:tcBorders>
              <w:bottom w:val="single" w:sz="6" w:space="0" w:color="0075C9"/>
            </w:tcBorders>
            <w:noWrap/>
            <w:tcMar>
              <w:top w:w="0" w:type="dxa"/>
              <w:left w:w="144" w:type="dxa"/>
              <w:bottom w:w="0" w:type="dxa"/>
              <w:right w:w="0" w:type="dxa"/>
            </w:tcMar>
            <w:vAlign w:val="bottom"/>
            <w:hideMark/>
          </w:tcPr>
          <w:p w14:paraId="6998E9E4" w14:textId="77777777" w:rsidR="00D246A9" w:rsidRPr="00306F7C"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360,000</w:t>
            </w:r>
            <w:r>
              <w:rPr>
                <w:rFonts w:ascii="Arial" w:hAnsi="Arial" w:cs="Arial"/>
                <w:sz w:val="20"/>
                <w:szCs w:val="20"/>
              </w:rPr>
              <w:tab/>
            </w:r>
          </w:p>
        </w:tc>
      </w:tr>
      <w:tr w:rsidR="00D246A9" w14:paraId="79C9D8EC" w14:textId="77777777" w:rsidTr="00FE0A0A">
        <w:trPr>
          <w:cantSplit/>
        </w:trPr>
        <w:tc>
          <w:tcPr>
            <w:tcW w:w="3484" w:type="dxa"/>
            <w:tcBorders>
              <w:bottom w:val="single" w:sz="6" w:space="0" w:color="0075C9"/>
            </w:tcBorders>
            <w:tcMar>
              <w:top w:w="0" w:type="dxa"/>
              <w:left w:w="0" w:type="dxa"/>
              <w:bottom w:w="40" w:type="dxa"/>
              <w:right w:w="0" w:type="dxa"/>
            </w:tcMar>
            <w:hideMark/>
          </w:tcPr>
          <w:p w14:paraId="6F508749" w14:textId="77777777" w:rsidR="00D246A9" w:rsidRPr="00306F7C" w:rsidRDefault="00D246A9">
            <w:pPr>
              <w:pStyle w:val="NormalWeb"/>
              <w:keepNext/>
              <w:spacing w:before="0" w:beforeAutospacing="0" w:after="0" w:afterAutospacing="0"/>
              <w:ind w:left="96"/>
              <w:rPr>
                <w:rFonts w:ascii="Arial" w:hAnsi="Arial" w:cs="Arial"/>
                <w:sz w:val="20"/>
                <w:szCs w:val="20"/>
              </w:rPr>
            </w:pPr>
            <w:r>
              <w:rPr>
                <w:rFonts w:ascii="Arial" w:hAnsi="Arial" w:cs="Arial"/>
                <w:b/>
                <w:bCs/>
                <w:color w:val="0075C9"/>
                <w:sz w:val="20"/>
                <w:szCs w:val="20"/>
              </w:rPr>
              <w:t>Hugh F. Johnston</w:t>
            </w:r>
          </w:p>
        </w:tc>
        <w:tc>
          <w:tcPr>
            <w:tcW w:w="1744" w:type="dxa"/>
            <w:tcBorders>
              <w:bottom w:val="single" w:sz="6" w:space="0" w:color="0075C9"/>
            </w:tcBorders>
            <w:noWrap/>
            <w:tcMar>
              <w:top w:w="0" w:type="dxa"/>
              <w:left w:w="144" w:type="dxa"/>
              <w:bottom w:w="0" w:type="dxa"/>
              <w:right w:w="0" w:type="dxa"/>
            </w:tcMar>
            <w:vAlign w:val="bottom"/>
            <w:hideMark/>
          </w:tcPr>
          <w:p w14:paraId="7F62F43A"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170,000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124046E4"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46EC4902" w14:textId="77777777" w:rsidR="00D246A9" w:rsidRDefault="00D246A9">
            <w:pPr>
              <w:pStyle w:val="NormalWeb"/>
              <w:tabs>
                <w:tab w:val="right" w:pos="1920"/>
                <w:tab w:val="decimal" w:pos="1960"/>
              </w:tabs>
              <w:spacing w:before="0" w:beforeAutospacing="0" w:after="20" w:afterAutospacing="0"/>
              <w:rPr>
                <w:rFonts w:ascii="Arial" w:hAnsi="Arial" w:cs="Arial"/>
                <w:sz w:val="20"/>
                <w:szCs w:val="20"/>
              </w:rPr>
            </w:pPr>
            <w:r>
              <w:rPr>
                <w:rFonts w:ascii="Arial" w:hAnsi="Arial" w:cs="Arial"/>
                <w:sz w:val="20"/>
                <w:szCs w:val="20"/>
              </w:rPr>
              <w:tab/>
              <w:t>12,500</w:t>
            </w:r>
            <w:r>
              <w:rPr>
                <w:rFonts w:ascii="Arial" w:hAnsi="Arial" w:cs="Arial"/>
                <w:sz w:val="20"/>
                <w:szCs w:val="20"/>
              </w:rPr>
              <w:tab/>
            </w:r>
          </w:p>
        </w:tc>
        <w:tc>
          <w:tcPr>
            <w:tcW w:w="1444" w:type="dxa"/>
            <w:tcBorders>
              <w:bottom w:val="single" w:sz="6" w:space="0" w:color="0075C9"/>
            </w:tcBorders>
            <w:noWrap/>
            <w:tcMar>
              <w:top w:w="0" w:type="dxa"/>
              <w:left w:w="144" w:type="dxa"/>
              <w:bottom w:w="0" w:type="dxa"/>
              <w:right w:w="0" w:type="dxa"/>
            </w:tcMar>
            <w:vAlign w:val="bottom"/>
            <w:hideMark/>
          </w:tcPr>
          <w:p w14:paraId="71B9A3B2" w14:textId="77777777" w:rsidR="00D246A9"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417,500</w:t>
            </w:r>
            <w:r>
              <w:rPr>
                <w:rFonts w:ascii="Arial" w:hAnsi="Arial" w:cs="Arial"/>
                <w:sz w:val="20"/>
                <w:szCs w:val="20"/>
              </w:rPr>
              <w:tab/>
            </w:r>
          </w:p>
        </w:tc>
      </w:tr>
      <w:tr w:rsidR="00D246A9" w14:paraId="55FD2001" w14:textId="77777777" w:rsidTr="00FE0A0A">
        <w:trPr>
          <w:cantSplit/>
        </w:trPr>
        <w:tc>
          <w:tcPr>
            <w:tcW w:w="3484" w:type="dxa"/>
            <w:tcBorders>
              <w:bottom w:val="single" w:sz="6" w:space="0" w:color="0075C9"/>
            </w:tcBorders>
            <w:tcMar>
              <w:top w:w="0" w:type="dxa"/>
              <w:left w:w="0" w:type="dxa"/>
              <w:bottom w:w="40" w:type="dxa"/>
              <w:right w:w="0" w:type="dxa"/>
            </w:tcMar>
            <w:hideMark/>
          </w:tcPr>
          <w:p w14:paraId="165BC4E8"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Teri L. List</w:t>
            </w:r>
          </w:p>
        </w:tc>
        <w:tc>
          <w:tcPr>
            <w:tcW w:w="1744" w:type="dxa"/>
            <w:tcBorders>
              <w:bottom w:val="single" w:sz="6" w:space="0" w:color="0075C9"/>
            </w:tcBorders>
            <w:noWrap/>
            <w:tcMar>
              <w:top w:w="0" w:type="dxa"/>
              <w:left w:w="144" w:type="dxa"/>
              <w:bottom w:w="0" w:type="dxa"/>
              <w:right w:w="0" w:type="dxa"/>
            </w:tcMar>
            <w:vAlign w:val="bottom"/>
            <w:hideMark/>
          </w:tcPr>
          <w:p w14:paraId="599DC1A3"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140,000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141A68E4"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5436A661" w14:textId="77777777" w:rsidR="00D246A9" w:rsidRDefault="00D246A9">
            <w:pPr>
              <w:pStyle w:val="NormalWeb"/>
              <w:tabs>
                <w:tab w:val="right" w:pos="1920"/>
                <w:tab w:val="decimal" w:pos="1960"/>
              </w:tabs>
              <w:spacing w:before="0" w:beforeAutospacing="0" w:after="20" w:afterAutospacing="0"/>
              <w:rPr>
                <w:rFonts w:ascii="Arial" w:hAnsi="Arial" w:cs="Arial"/>
                <w:sz w:val="20"/>
                <w:szCs w:val="20"/>
              </w:rPr>
            </w:pPr>
            <w:r>
              <w:rPr>
                <w:rFonts w:ascii="Arial" w:hAnsi="Arial" w:cs="Arial"/>
                <w:sz w:val="20"/>
                <w:szCs w:val="20"/>
              </w:rPr>
              <w:tab/>
              <w:t>15,000</w:t>
            </w:r>
            <w:r>
              <w:rPr>
                <w:rFonts w:ascii="Arial" w:hAnsi="Arial" w:cs="Arial"/>
                <w:sz w:val="20"/>
                <w:szCs w:val="20"/>
              </w:rPr>
              <w:tab/>
            </w:r>
          </w:p>
        </w:tc>
        <w:tc>
          <w:tcPr>
            <w:tcW w:w="1444" w:type="dxa"/>
            <w:tcBorders>
              <w:bottom w:val="single" w:sz="6" w:space="0" w:color="0075C9"/>
            </w:tcBorders>
            <w:noWrap/>
            <w:tcMar>
              <w:top w:w="0" w:type="dxa"/>
              <w:left w:w="144" w:type="dxa"/>
              <w:bottom w:w="0" w:type="dxa"/>
              <w:right w:w="0" w:type="dxa"/>
            </w:tcMar>
            <w:vAlign w:val="bottom"/>
            <w:hideMark/>
          </w:tcPr>
          <w:p w14:paraId="4F99AFE1" w14:textId="77777777" w:rsidR="00D246A9"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390,000</w:t>
            </w:r>
            <w:r>
              <w:rPr>
                <w:rFonts w:ascii="Arial" w:hAnsi="Arial" w:cs="Arial"/>
                <w:sz w:val="20"/>
                <w:szCs w:val="20"/>
              </w:rPr>
              <w:tab/>
            </w:r>
          </w:p>
        </w:tc>
      </w:tr>
      <w:tr w:rsidR="00D246A9" w14:paraId="0E157D9D" w14:textId="77777777" w:rsidTr="00FE0A0A">
        <w:trPr>
          <w:cantSplit/>
        </w:trPr>
        <w:tc>
          <w:tcPr>
            <w:tcW w:w="3484" w:type="dxa"/>
            <w:tcBorders>
              <w:bottom w:val="single" w:sz="6" w:space="0" w:color="0075C9"/>
            </w:tcBorders>
            <w:tcMar>
              <w:top w:w="0" w:type="dxa"/>
              <w:left w:w="0" w:type="dxa"/>
              <w:bottom w:w="40" w:type="dxa"/>
              <w:right w:w="0" w:type="dxa"/>
            </w:tcMar>
            <w:hideMark/>
          </w:tcPr>
          <w:p w14:paraId="2141A53D"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Sandra E. Peterson</w:t>
            </w:r>
            <w:r>
              <w:rPr>
                <w:rFonts w:ascii="Arial" w:hAnsi="Arial" w:cs="Arial"/>
                <w:b/>
                <w:bCs/>
                <w:color w:val="0075C9"/>
                <w:sz w:val="15"/>
                <w:szCs w:val="15"/>
                <w:vertAlign w:val="superscript"/>
              </w:rPr>
              <w:t>5</w:t>
            </w:r>
          </w:p>
        </w:tc>
        <w:tc>
          <w:tcPr>
            <w:tcW w:w="1744" w:type="dxa"/>
            <w:tcBorders>
              <w:bottom w:val="single" w:sz="6" w:space="0" w:color="0075C9"/>
            </w:tcBorders>
            <w:noWrap/>
            <w:tcMar>
              <w:top w:w="0" w:type="dxa"/>
              <w:left w:w="144" w:type="dxa"/>
              <w:bottom w:w="0" w:type="dxa"/>
              <w:right w:w="0" w:type="dxa"/>
            </w:tcMar>
            <w:vAlign w:val="bottom"/>
            <w:hideMark/>
          </w:tcPr>
          <w:p w14:paraId="6E6CE3D5"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154,013</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626D57F1"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246,118</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17D3923E" w14:textId="77777777" w:rsidR="00D246A9" w:rsidRDefault="00D246A9">
            <w:pPr>
              <w:pStyle w:val="NormalWeb"/>
              <w:tabs>
                <w:tab w:val="right" w:pos="1920"/>
                <w:tab w:val="decimal" w:pos="1960"/>
              </w:tabs>
              <w:spacing w:before="0" w:beforeAutospacing="0" w:after="20" w:afterAutospacing="0"/>
              <w:rPr>
                <w:rFonts w:ascii="Arial" w:hAnsi="Arial" w:cs="Arial"/>
                <w:sz w:val="20"/>
                <w:szCs w:val="20"/>
              </w:rPr>
            </w:pPr>
            <w:r>
              <w:rPr>
                <w:rFonts w:ascii="Arial" w:hAnsi="Arial" w:cs="Arial"/>
                <w:sz w:val="20"/>
                <w:szCs w:val="20"/>
              </w:rPr>
              <w:tab/>
              <w:t>15,000</w:t>
            </w:r>
            <w:r>
              <w:rPr>
                <w:rFonts w:ascii="Arial" w:hAnsi="Arial" w:cs="Arial"/>
                <w:sz w:val="20"/>
                <w:szCs w:val="20"/>
              </w:rPr>
              <w:tab/>
            </w:r>
          </w:p>
        </w:tc>
        <w:tc>
          <w:tcPr>
            <w:tcW w:w="1444" w:type="dxa"/>
            <w:tcBorders>
              <w:bottom w:val="single" w:sz="6" w:space="0" w:color="0075C9"/>
            </w:tcBorders>
            <w:noWrap/>
            <w:tcMar>
              <w:top w:w="0" w:type="dxa"/>
              <w:left w:w="144" w:type="dxa"/>
              <w:bottom w:w="0" w:type="dxa"/>
              <w:right w:w="0" w:type="dxa"/>
            </w:tcMar>
            <w:vAlign w:val="bottom"/>
            <w:hideMark/>
          </w:tcPr>
          <w:p w14:paraId="2A9E1843" w14:textId="77777777" w:rsidR="00D246A9"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415,131</w:t>
            </w:r>
            <w:r>
              <w:rPr>
                <w:rFonts w:ascii="Arial" w:hAnsi="Arial" w:cs="Arial"/>
                <w:sz w:val="20"/>
                <w:szCs w:val="20"/>
              </w:rPr>
              <w:tab/>
            </w:r>
          </w:p>
        </w:tc>
      </w:tr>
      <w:tr w:rsidR="00D246A9" w14:paraId="687E4316" w14:textId="77777777" w:rsidTr="00FE0A0A">
        <w:trPr>
          <w:cantSplit/>
        </w:trPr>
        <w:tc>
          <w:tcPr>
            <w:tcW w:w="3484" w:type="dxa"/>
            <w:tcBorders>
              <w:bottom w:val="single" w:sz="6" w:space="0" w:color="0075C9"/>
            </w:tcBorders>
            <w:tcMar>
              <w:top w:w="0" w:type="dxa"/>
              <w:left w:w="0" w:type="dxa"/>
              <w:bottom w:w="40" w:type="dxa"/>
              <w:right w:w="0" w:type="dxa"/>
            </w:tcMar>
            <w:hideMark/>
          </w:tcPr>
          <w:p w14:paraId="00EC968F"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Penny S. Pritzker</w:t>
            </w:r>
            <w:r>
              <w:rPr>
                <w:rFonts w:ascii="Arial" w:hAnsi="Arial" w:cs="Arial"/>
                <w:b/>
                <w:bCs/>
                <w:color w:val="0075C9"/>
                <w:sz w:val="15"/>
                <w:szCs w:val="15"/>
                <w:vertAlign w:val="superscript"/>
              </w:rPr>
              <w:t>6</w:t>
            </w:r>
          </w:p>
        </w:tc>
        <w:tc>
          <w:tcPr>
            <w:tcW w:w="1744" w:type="dxa"/>
            <w:tcBorders>
              <w:bottom w:val="single" w:sz="6" w:space="0" w:color="0075C9"/>
            </w:tcBorders>
            <w:noWrap/>
            <w:tcMar>
              <w:top w:w="0" w:type="dxa"/>
              <w:left w:w="144" w:type="dxa"/>
              <w:bottom w:w="0" w:type="dxa"/>
              <w:right w:w="0" w:type="dxa"/>
            </w:tcMar>
            <w:vAlign w:val="bottom"/>
            <w:hideMark/>
          </w:tcPr>
          <w:p w14:paraId="0F588FD8"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150,000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5393052B"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4A3A34B3" w14:textId="77777777" w:rsidR="00D246A9" w:rsidRDefault="00D246A9">
            <w:pPr>
              <w:pStyle w:val="NormalWeb"/>
              <w:tabs>
                <w:tab w:val="right" w:pos="1920"/>
                <w:tab w:val="decimal" w:pos="1960"/>
              </w:tabs>
              <w:spacing w:before="0" w:beforeAutospacing="0" w:after="20" w:afterAutospacing="0"/>
              <w:rPr>
                <w:rFonts w:ascii="Arial" w:hAnsi="Arial" w:cs="Arial"/>
                <w:sz w:val="20"/>
                <w:szCs w:val="20"/>
              </w:rPr>
            </w:pPr>
            <w:r>
              <w:rPr>
                <w:rFonts w:ascii="Arial" w:hAnsi="Arial" w:cs="Arial"/>
                <w:sz w:val="20"/>
                <w:szCs w:val="20"/>
              </w:rPr>
              <w:tab/>
              <w:t>15,000</w:t>
            </w:r>
            <w:r>
              <w:rPr>
                <w:rFonts w:ascii="Arial" w:hAnsi="Arial" w:cs="Arial"/>
                <w:sz w:val="20"/>
                <w:szCs w:val="20"/>
              </w:rPr>
              <w:tab/>
            </w:r>
          </w:p>
        </w:tc>
        <w:tc>
          <w:tcPr>
            <w:tcW w:w="1444" w:type="dxa"/>
            <w:tcBorders>
              <w:bottom w:val="single" w:sz="6" w:space="0" w:color="0075C9"/>
            </w:tcBorders>
            <w:noWrap/>
            <w:tcMar>
              <w:top w:w="0" w:type="dxa"/>
              <w:left w:w="144" w:type="dxa"/>
              <w:bottom w:w="0" w:type="dxa"/>
              <w:right w:w="0" w:type="dxa"/>
            </w:tcMar>
            <w:vAlign w:val="bottom"/>
            <w:hideMark/>
          </w:tcPr>
          <w:p w14:paraId="360492BE" w14:textId="77777777" w:rsidR="00D246A9"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400,000</w:t>
            </w:r>
            <w:r>
              <w:rPr>
                <w:rFonts w:ascii="Arial" w:hAnsi="Arial" w:cs="Arial"/>
                <w:sz w:val="20"/>
                <w:szCs w:val="20"/>
              </w:rPr>
              <w:tab/>
            </w:r>
          </w:p>
        </w:tc>
      </w:tr>
      <w:tr w:rsidR="00D246A9" w14:paraId="6028878F" w14:textId="77777777" w:rsidTr="00FE0A0A">
        <w:trPr>
          <w:cantSplit/>
        </w:trPr>
        <w:tc>
          <w:tcPr>
            <w:tcW w:w="3484" w:type="dxa"/>
            <w:tcBorders>
              <w:bottom w:val="single" w:sz="6" w:space="0" w:color="0075C9"/>
            </w:tcBorders>
            <w:tcMar>
              <w:top w:w="0" w:type="dxa"/>
              <w:left w:w="0" w:type="dxa"/>
              <w:bottom w:w="40" w:type="dxa"/>
              <w:right w:w="0" w:type="dxa"/>
            </w:tcMar>
            <w:hideMark/>
          </w:tcPr>
          <w:p w14:paraId="6165A0FC"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Carlos A. Rodriguez</w:t>
            </w:r>
            <w:r>
              <w:rPr>
                <w:rFonts w:ascii="Arial" w:hAnsi="Arial" w:cs="Arial"/>
                <w:b/>
                <w:bCs/>
                <w:color w:val="0075C9"/>
                <w:sz w:val="15"/>
                <w:szCs w:val="15"/>
                <w:vertAlign w:val="superscript"/>
              </w:rPr>
              <w:t>7</w:t>
            </w:r>
          </w:p>
        </w:tc>
        <w:tc>
          <w:tcPr>
            <w:tcW w:w="1744" w:type="dxa"/>
            <w:tcBorders>
              <w:bottom w:val="single" w:sz="6" w:space="0" w:color="0075C9"/>
            </w:tcBorders>
            <w:noWrap/>
            <w:tcMar>
              <w:top w:w="0" w:type="dxa"/>
              <w:left w:w="144" w:type="dxa"/>
              <w:bottom w:w="0" w:type="dxa"/>
              <w:right w:w="0" w:type="dxa"/>
            </w:tcMar>
            <w:vAlign w:val="bottom"/>
            <w:hideMark/>
          </w:tcPr>
          <w:p w14:paraId="12DDD8F7"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145,987</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63D9380C"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1F4806AB" w14:textId="623BB9A3" w:rsidR="00D246A9" w:rsidRPr="00840D7E" w:rsidRDefault="00840D7E">
            <w:pPr>
              <w:rPr>
                <w:rFonts w:ascii="Arial" w:hAnsi="Arial" w:cs="Arial"/>
                <w:color w:val="FFFFFF" w:themeColor="background1"/>
                <w:sz w:val="20"/>
              </w:rPr>
            </w:pPr>
            <w:r w:rsidRPr="00840D7E">
              <w:rPr>
                <w:rFonts w:ascii="Arial" w:hAnsi="Arial" w:cs="Arial"/>
                <w:color w:val="FFFFFF" w:themeColor="background1"/>
                <w:sz w:val="20"/>
              </w:rPr>
              <w:t>NA</w:t>
            </w:r>
          </w:p>
        </w:tc>
        <w:tc>
          <w:tcPr>
            <w:tcW w:w="1444" w:type="dxa"/>
            <w:tcBorders>
              <w:bottom w:val="single" w:sz="6" w:space="0" w:color="0075C9"/>
            </w:tcBorders>
            <w:noWrap/>
            <w:tcMar>
              <w:top w:w="0" w:type="dxa"/>
              <w:left w:w="144" w:type="dxa"/>
              <w:bottom w:w="0" w:type="dxa"/>
              <w:right w:w="0" w:type="dxa"/>
            </w:tcMar>
            <w:vAlign w:val="bottom"/>
            <w:hideMark/>
          </w:tcPr>
          <w:p w14:paraId="29348D96" w14:textId="77777777" w:rsidR="00D246A9" w:rsidRPr="00306F7C"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380,987</w:t>
            </w:r>
            <w:r>
              <w:rPr>
                <w:rFonts w:ascii="Arial" w:hAnsi="Arial" w:cs="Arial"/>
                <w:sz w:val="20"/>
                <w:szCs w:val="20"/>
              </w:rPr>
              <w:tab/>
            </w:r>
          </w:p>
        </w:tc>
      </w:tr>
      <w:tr w:rsidR="00D246A9" w14:paraId="7F8544C5" w14:textId="77777777" w:rsidTr="00FE0A0A">
        <w:trPr>
          <w:cantSplit/>
        </w:trPr>
        <w:tc>
          <w:tcPr>
            <w:tcW w:w="3484" w:type="dxa"/>
            <w:tcBorders>
              <w:bottom w:val="single" w:sz="6" w:space="0" w:color="0075C9"/>
            </w:tcBorders>
            <w:tcMar>
              <w:top w:w="0" w:type="dxa"/>
              <w:left w:w="0" w:type="dxa"/>
              <w:bottom w:w="40" w:type="dxa"/>
              <w:right w:w="0" w:type="dxa"/>
            </w:tcMar>
            <w:hideMark/>
          </w:tcPr>
          <w:p w14:paraId="74A9FD4C"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Charles W. Scharf</w:t>
            </w:r>
          </w:p>
        </w:tc>
        <w:tc>
          <w:tcPr>
            <w:tcW w:w="1744" w:type="dxa"/>
            <w:tcBorders>
              <w:bottom w:val="single" w:sz="6" w:space="0" w:color="0075C9"/>
            </w:tcBorders>
            <w:noWrap/>
            <w:tcMar>
              <w:top w:w="0" w:type="dxa"/>
              <w:left w:w="144" w:type="dxa"/>
              <w:bottom w:w="0" w:type="dxa"/>
              <w:right w:w="0" w:type="dxa"/>
            </w:tcMar>
            <w:vAlign w:val="bottom"/>
            <w:hideMark/>
          </w:tcPr>
          <w:p w14:paraId="38674073"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6C204EB8"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2E78EBF8" w14:textId="44E11A1B" w:rsidR="00D246A9" w:rsidRPr="00840D7E" w:rsidRDefault="00840D7E">
            <w:pPr>
              <w:rPr>
                <w:rFonts w:ascii="Arial" w:hAnsi="Arial" w:cs="Arial"/>
                <w:color w:val="FFFFFF" w:themeColor="background1"/>
                <w:sz w:val="20"/>
              </w:rPr>
            </w:pPr>
            <w:r w:rsidRPr="00840D7E">
              <w:rPr>
                <w:rFonts w:ascii="Arial" w:hAnsi="Arial" w:cs="Arial"/>
                <w:color w:val="FFFFFF" w:themeColor="background1"/>
                <w:sz w:val="20"/>
              </w:rPr>
              <w:t>NA</w:t>
            </w:r>
          </w:p>
        </w:tc>
        <w:tc>
          <w:tcPr>
            <w:tcW w:w="1444" w:type="dxa"/>
            <w:tcBorders>
              <w:bottom w:val="single" w:sz="6" w:space="0" w:color="0075C9"/>
            </w:tcBorders>
            <w:noWrap/>
            <w:tcMar>
              <w:top w:w="0" w:type="dxa"/>
              <w:left w:w="144" w:type="dxa"/>
              <w:bottom w:w="0" w:type="dxa"/>
              <w:right w:w="0" w:type="dxa"/>
            </w:tcMar>
            <w:vAlign w:val="bottom"/>
            <w:hideMark/>
          </w:tcPr>
          <w:p w14:paraId="70015E22" w14:textId="77777777" w:rsidR="00D246A9" w:rsidRPr="00306F7C"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360,000</w:t>
            </w:r>
            <w:r>
              <w:rPr>
                <w:rFonts w:ascii="Arial" w:hAnsi="Arial" w:cs="Arial"/>
                <w:sz w:val="20"/>
                <w:szCs w:val="20"/>
              </w:rPr>
              <w:tab/>
            </w:r>
          </w:p>
        </w:tc>
      </w:tr>
      <w:tr w:rsidR="00D246A9" w14:paraId="105F3B42" w14:textId="77777777" w:rsidTr="00FE0A0A">
        <w:trPr>
          <w:cantSplit/>
        </w:trPr>
        <w:tc>
          <w:tcPr>
            <w:tcW w:w="3484" w:type="dxa"/>
            <w:tcBorders>
              <w:bottom w:val="single" w:sz="6" w:space="0" w:color="0075C9"/>
            </w:tcBorders>
            <w:tcMar>
              <w:top w:w="0" w:type="dxa"/>
              <w:left w:w="0" w:type="dxa"/>
              <w:bottom w:w="40" w:type="dxa"/>
              <w:right w:w="0" w:type="dxa"/>
            </w:tcMar>
            <w:hideMark/>
          </w:tcPr>
          <w:p w14:paraId="07D0F4E4"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John W. Stanton</w:t>
            </w:r>
          </w:p>
        </w:tc>
        <w:tc>
          <w:tcPr>
            <w:tcW w:w="1744" w:type="dxa"/>
            <w:tcBorders>
              <w:bottom w:val="single" w:sz="6" w:space="0" w:color="0075C9"/>
            </w:tcBorders>
            <w:noWrap/>
            <w:tcMar>
              <w:top w:w="0" w:type="dxa"/>
              <w:left w:w="144" w:type="dxa"/>
              <w:bottom w:w="0" w:type="dxa"/>
              <w:right w:w="0" w:type="dxa"/>
            </w:tcMar>
            <w:vAlign w:val="bottom"/>
            <w:hideMark/>
          </w:tcPr>
          <w:p w14:paraId="764F86F2"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140,000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63F8F3FD"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60B51756" w14:textId="77777777" w:rsidR="00D246A9" w:rsidRDefault="00D246A9">
            <w:pPr>
              <w:pStyle w:val="NormalWeb"/>
              <w:tabs>
                <w:tab w:val="right" w:pos="1920"/>
                <w:tab w:val="decimal" w:pos="1960"/>
              </w:tabs>
              <w:spacing w:before="0" w:beforeAutospacing="0" w:after="20" w:afterAutospacing="0"/>
              <w:rPr>
                <w:rFonts w:ascii="Arial" w:hAnsi="Arial" w:cs="Arial"/>
                <w:sz w:val="20"/>
                <w:szCs w:val="20"/>
              </w:rPr>
            </w:pPr>
            <w:r>
              <w:rPr>
                <w:rFonts w:ascii="Arial" w:hAnsi="Arial" w:cs="Arial"/>
                <w:sz w:val="20"/>
                <w:szCs w:val="20"/>
              </w:rPr>
              <w:tab/>
              <w:t>15,000</w:t>
            </w:r>
            <w:r>
              <w:rPr>
                <w:rFonts w:ascii="Arial" w:hAnsi="Arial" w:cs="Arial"/>
                <w:sz w:val="20"/>
                <w:szCs w:val="20"/>
              </w:rPr>
              <w:tab/>
            </w:r>
          </w:p>
        </w:tc>
        <w:tc>
          <w:tcPr>
            <w:tcW w:w="1444" w:type="dxa"/>
            <w:tcBorders>
              <w:bottom w:val="single" w:sz="6" w:space="0" w:color="0075C9"/>
            </w:tcBorders>
            <w:noWrap/>
            <w:tcMar>
              <w:top w:w="0" w:type="dxa"/>
              <w:left w:w="144" w:type="dxa"/>
              <w:bottom w:w="0" w:type="dxa"/>
              <w:right w:w="0" w:type="dxa"/>
            </w:tcMar>
            <w:vAlign w:val="bottom"/>
            <w:hideMark/>
          </w:tcPr>
          <w:p w14:paraId="1E4D23B3" w14:textId="77777777" w:rsidR="00D246A9"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390,000</w:t>
            </w:r>
            <w:r>
              <w:rPr>
                <w:rFonts w:ascii="Arial" w:hAnsi="Arial" w:cs="Arial"/>
                <w:sz w:val="20"/>
                <w:szCs w:val="20"/>
              </w:rPr>
              <w:tab/>
            </w:r>
          </w:p>
        </w:tc>
      </w:tr>
      <w:tr w:rsidR="00D246A9" w14:paraId="7A011D99" w14:textId="77777777" w:rsidTr="00FE0A0A">
        <w:trPr>
          <w:cantSplit/>
        </w:trPr>
        <w:tc>
          <w:tcPr>
            <w:tcW w:w="3484" w:type="dxa"/>
            <w:tcBorders>
              <w:bottom w:val="single" w:sz="6" w:space="0" w:color="0075C9"/>
            </w:tcBorders>
            <w:tcMar>
              <w:top w:w="0" w:type="dxa"/>
              <w:left w:w="0" w:type="dxa"/>
              <w:bottom w:w="40" w:type="dxa"/>
              <w:right w:w="0" w:type="dxa"/>
            </w:tcMar>
            <w:hideMark/>
          </w:tcPr>
          <w:p w14:paraId="39FD64B3"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John W. Thompson</w:t>
            </w:r>
            <w:r>
              <w:rPr>
                <w:rFonts w:ascii="Arial" w:hAnsi="Arial" w:cs="Arial"/>
                <w:b/>
                <w:bCs/>
                <w:color w:val="0075C9"/>
                <w:sz w:val="15"/>
                <w:szCs w:val="15"/>
                <w:vertAlign w:val="superscript"/>
              </w:rPr>
              <w:t>8</w:t>
            </w:r>
          </w:p>
        </w:tc>
        <w:tc>
          <w:tcPr>
            <w:tcW w:w="1744" w:type="dxa"/>
            <w:tcBorders>
              <w:bottom w:val="single" w:sz="6" w:space="0" w:color="0075C9"/>
            </w:tcBorders>
            <w:noWrap/>
            <w:tcMar>
              <w:top w:w="0" w:type="dxa"/>
              <w:left w:w="144" w:type="dxa"/>
              <w:bottom w:w="0" w:type="dxa"/>
              <w:right w:w="0" w:type="dxa"/>
            </w:tcMar>
            <w:vAlign w:val="bottom"/>
            <w:hideMark/>
          </w:tcPr>
          <w:p w14:paraId="490D0B5B"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14798438"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288,882</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14D209E0" w14:textId="77777777" w:rsidR="00D246A9" w:rsidRDefault="00D246A9">
            <w:pPr>
              <w:pStyle w:val="NormalWeb"/>
              <w:tabs>
                <w:tab w:val="right" w:pos="1920"/>
                <w:tab w:val="decimal" w:pos="1960"/>
              </w:tabs>
              <w:spacing w:before="0" w:beforeAutospacing="0" w:after="20" w:afterAutospacing="0"/>
              <w:rPr>
                <w:rFonts w:ascii="Arial" w:hAnsi="Arial" w:cs="Arial"/>
                <w:sz w:val="20"/>
                <w:szCs w:val="20"/>
              </w:rPr>
            </w:pPr>
            <w:r>
              <w:rPr>
                <w:rFonts w:ascii="Arial" w:hAnsi="Arial" w:cs="Arial"/>
                <w:sz w:val="20"/>
                <w:szCs w:val="20"/>
              </w:rPr>
              <w:tab/>
              <w:t>15,000</w:t>
            </w:r>
            <w:r>
              <w:rPr>
                <w:rFonts w:ascii="Arial" w:hAnsi="Arial" w:cs="Arial"/>
                <w:sz w:val="20"/>
                <w:szCs w:val="20"/>
              </w:rPr>
              <w:tab/>
            </w:r>
          </w:p>
        </w:tc>
        <w:tc>
          <w:tcPr>
            <w:tcW w:w="1444" w:type="dxa"/>
            <w:tcBorders>
              <w:bottom w:val="single" w:sz="6" w:space="0" w:color="0075C9"/>
            </w:tcBorders>
            <w:noWrap/>
            <w:tcMar>
              <w:top w:w="0" w:type="dxa"/>
              <w:left w:w="144" w:type="dxa"/>
              <w:bottom w:w="0" w:type="dxa"/>
              <w:right w:w="0" w:type="dxa"/>
            </w:tcMar>
            <w:vAlign w:val="bottom"/>
            <w:hideMark/>
          </w:tcPr>
          <w:p w14:paraId="58D18C52" w14:textId="77777777" w:rsidR="00D246A9"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428,882</w:t>
            </w:r>
            <w:r>
              <w:rPr>
                <w:rFonts w:ascii="Arial" w:hAnsi="Arial" w:cs="Arial"/>
                <w:sz w:val="20"/>
                <w:szCs w:val="20"/>
              </w:rPr>
              <w:tab/>
            </w:r>
          </w:p>
        </w:tc>
      </w:tr>
      <w:tr w:rsidR="00D246A9" w14:paraId="17CB43FF" w14:textId="77777777" w:rsidTr="00FE0A0A">
        <w:trPr>
          <w:cantSplit/>
        </w:trPr>
        <w:tc>
          <w:tcPr>
            <w:tcW w:w="3484" w:type="dxa"/>
            <w:tcBorders>
              <w:bottom w:val="single" w:sz="6" w:space="0" w:color="0075C9"/>
            </w:tcBorders>
            <w:tcMar>
              <w:top w:w="0" w:type="dxa"/>
              <w:left w:w="0" w:type="dxa"/>
              <w:bottom w:w="40" w:type="dxa"/>
              <w:right w:w="0" w:type="dxa"/>
            </w:tcMar>
            <w:hideMark/>
          </w:tcPr>
          <w:p w14:paraId="1DB28BAB"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Emma N. Walmsley</w:t>
            </w:r>
          </w:p>
        </w:tc>
        <w:tc>
          <w:tcPr>
            <w:tcW w:w="1744" w:type="dxa"/>
            <w:tcBorders>
              <w:bottom w:val="single" w:sz="6" w:space="0" w:color="0075C9"/>
            </w:tcBorders>
            <w:noWrap/>
            <w:tcMar>
              <w:top w:w="0" w:type="dxa"/>
              <w:left w:w="144" w:type="dxa"/>
              <w:bottom w:w="0" w:type="dxa"/>
              <w:right w:w="0" w:type="dxa"/>
            </w:tcMar>
            <w:vAlign w:val="bottom"/>
            <w:hideMark/>
          </w:tcPr>
          <w:p w14:paraId="65A4F01E"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039C964E"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293ED4ED" w14:textId="77777777" w:rsidR="00D246A9" w:rsidRDefault="00D246A9">
            <w:pPr>
              <w:pStyle w:val="NormalWeb"/>
              <w:tabs>
                <w:tab w:val="right" w:pos="1920"/>
                <w:tab w:val="decimal" w:pos="1960"/>
              </w:tabs>
              <w:spacing w:before="0" w:beforeAutospacing="0" w:after="20" w:afterAutospacing="0"/>
              <w:rPr>
                <w:rFonts w:ascii="Arial" w:hAnsi="Arial" w:cs="Arial"/>
                <w:sz w:val="20"/>
                <w:szCs w:val="20"/>
              </w:rPr>
            </w:pPr>
            <w:r>
              <w:rPr>
                <w:rFonts w:ascii="Arial" w:hAnsi="Arial" w:cs="Arial"/>
                <w:sz w:val="20"/>
                <w:szCs w:val="20"/>
              </w:rPr>
              <w:tab/>
              <w:t>13,368</w:t>
            </w:r>
            <w:r>
              <w:rPr>
                <w:rFonts w:ascii="Arial" w:hAnsi="Arial" w:cs="Arial"/>
                <w:sz w:val="20"/>
                <w:szCs w:val="20"/>
              </w:rPr>
              <w:tab/>
            </w:r>
          </w:p>
        </w:tc>
        <w:tc>
          <w:tcPr>
            <w:tcW w:w="1444" w:type="dxa"/>
            <w:tcBorders>
              <w:bottom w:val="single" w:sz="6" w:space="0" w:color="0075C9"/>
            </w:tcBorders>
            <w:noWrap/>
            <w:tcMar>
              <w:top w:w="0" w:type="dxa"/>
              <w:left w:w="144" w:type="dxa"/>
              <w:bottom w:w="0" w:type="dxa"/>
              <w:right w:w="0" w:type="dxa"/>
            </w:tcMar>
            <w:vAlign w:val="bottom"/>
            <w:hideMark/>
          </w:tcPr>
          <w:p w14:paraId="6A7B507A" w14:textId="77777777" w:rsidR="00D246A9"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373,368</w:t>
            </w:r>
            <w:r>
              <w:rPr>
                <w:rFonts w:ascii="Arial" w:hAnsi="Arial" w:cs="Arial"/>
                <w:sz w:val="20"/>
                <w:szCs w:val="20"/>
              </w:rPr>
              <w:tab/>
            </w:r>
          </w:p>
        </w:tc>
      </w:tr>
      <w:tr w:rsidR="00D246A9" w14:paraId="521C1C47" w14:textId="77777777" w:rsidTr="00FE0A0A">
        <w:trPr>
          <w:cantSplit/>
        </w:trPr>
        <w:tc>
          <w:tcPr>
            <w:tcW w:w="3484" w:type="dxa"/>
            <w:tcBorders>
              <w:bottom w:val="single" w:sz="6" w:space="0" w:color="0075C9"/>
            </w:tcBorders>
            <w:tcMar>
              <w:top w:w="0" w:type="dxa"/>
              <w:left w:w="0" w:type="dxa"/>
              <w:bottom w:w="40" w:type="dxa"/>
              <w:right w:w="0" w:type="dxa"/>
            </w:tcMar>
            <w:hideMark/>
          </w:tcPr>
          <w:p w14:paraId="76C98CD5"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Padmasree Warrior</w:t>
            </w:r>
            <w:r>
              <w:rPr>
                <w:rFonts w:ascii="Arial" w:hAnsi="Arial" w:cs="Arial"/>
                <w:b/>
                <w:bCs/>
                <w:color w:val="0075C9"/>
                <w:sz w:val="15"/>
                <w:szCs w:val="15"/>
                <w:vertAlign w:val="superscript"/>
              </w:rPr>
              <w:t>9</w:t>
            </w:r>
          </w:p>
        </w:tc>
        <w:tc>
          <w:tcPr>
            <w:tcW w:w="1744" w:type="dxa"/>
            <w:tcBorders>
              <w:bottom w:val="single" w:sz="6" w:space="0" w:color="0075C9"/>
            </w:tcBorders>
            <w:noWrap/>
            <w:tcMar>
              <w:top w:w="0" w:type="dxa"/>
              <w:left w:w="144" w:type="dxa"/>
              <w:bottom w:w="0" w:type="dxa"/>
              <w:right w:w="0" w:type="dxa"/>
            </w:tcMar>
            <w:vAlign w:val="bottom"/>
            <w:hideMark/>
          </w:tcPr>
          <w:p w14:paraId="2D2CCF00"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2B0E0426"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53C1F4C7" w14:textId="1AF486F9" w:rsidR="00D246A9" w:rsidRPr="00840D7E" w:rsidRDefault="00840D7E">
            <w:pPr>
              <w:rPr>
                <w:rFonts w:ascii="Arial" w:hAnsi="Arial" w:cs="Arial"/>
                <w:color w:val="FFFFFF" w:themeColor="background1"/>
                <w:sz w:val="20"/>
              </w:rPr>
            </w:pPr>
            <w:r w:rsidRPr="00840D7E">
              <w:rPr>
                <w:rFonts w:ascii="Arial" w:hAnsi="Arial" w:cs="Arial"/>
                <w:color w:val="FFFFFF" w:themeColor="background1"/>
                <w:sz w:val="20"/>
              </w:rPr>
              <w:t>NA</w:t>
            </w:r>
          </w:p>
        </w:tc>
        <w:tc>
          <w:tcPr>
            <w:tcW w:w="1444" w:type="dxa"/>
            <w:tcBorders>
              <w:bottom w:val="single" w:sz="6" w:space="0" w:color="0075C9"/>
            </w:tcBorders>
            <w:noWrap/>
            <w:tcMar>
              <w:top w:w="0" w:type="dxa"/>
              <w:left w:w="144" w:type="dxa"/>
              <w:bottom w:w="0" w:type="dxa"/>
              <w:right w:w="0" w:type="dxa"/>
            </w:tcMar>
            <w:vAlign w:val="bottom"/>
            <w:hideMark/>
          </w:tcPr>
          <w:p w14:paraId="52D8615D" w14:textId="77777777" w:rsidR="00D246A9" w:rsidRPr="00306F7C"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360,000</w:t>
            </w:r>
            <w:r>
              <w:rPr>
                <w:rFonts w:ascii="Arial" w:hAnsi="Arial" w:cs="Arial"/>
                <w:sz w:val="20"/>
                <w:szCs w:val="20"/>
              </w:rPr>
              <w:tab/>
            </w:r>
          </w:p>
        </w:tc>
      </w:tr>
    </w:tbl>
    <w:p w14:paraId="1B75B46D"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 value of fractional shares under stock awards that are paid in cash are reported in the Stock Awards column. </w:t>
      </w:r>
    </w:p>
    <w:p w14:paraId="0D976AE7"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aggregate award value in the “Stock Awards” column for each director represents four quarterly awards representing a grant date fair value under FASB ASC Topic 718 of $58,750, with exceptions as follows: Ms. Peterson was appointed lead independent director on March 15, 2023 succeeding Mr. Thompson. Mr. Thompson received awards with a grant date fair value of $75,000 for the first three quarters and a prorated award with a grant date fair value of $63,882 for the final quarter. Ms. Peterson received awards with a grant date fair value of $58,750 for the first three quarters and a prorated award with a grant date fair value of $69,868 for the final quarter. </w:t>
      </w:r>
    </w:p>
    <w:p w14:paraId="04ECE754"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Amounts in this column represent matching charitable contributions under our corporate giving program in fiscal year 2023, which matches director gifts up to $15,000 per calendar year. </w:t>
      </w:r>
    </w:p>
    <w:p w14:paraId="0F7338F7"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Mr. Hoffman elected to defer his cash and stock compensation. The compensation deferred </w:t>
      </w:r>
      <w:proofErr w:type="gramStart"/>
      <w:r>
        <w:rPr>
          <w:rFonts w:ascii="Arial" w:hAnsi="Arial" w:cs="Arial"/>
          <w:sz w:val="14"/>
          <w:szCs w:val="14"/>
        </w:rPr>
        <w:t>converted</w:t>
      </w:r>
      <w:proofErr w:type="gramEnd"/>
      <w:r>
        <w:rPr>
          <w:rFonts w:ascii="Arial" w:hAnsi="Arial" w:cs="Arial"/>
          <w:sz w:val="14"/>
          <w:szCs w:val="14"/>
        </w:rPr>
        <w:t xml:space="preserve"> into 1,330 shares of our common stock. </w:t>
      </w:r>
    </w:p>
    <w:p w14:paraId="525D1F17"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Ms. Peterson stepped away from her role as chair of the Compensation Committee and was appointed Lead Independent Director and chair of the Governance and Nominating Committee effective March 15, 2023. The Compensation Committee chair retainer no longer applies and she received a prorated cash retainer of $34,013 for the final quarter. Ms. Peterson elected to defer her cash and stock compensation. The compensation deferred </w:t>
      </w:r>
      <w:proofErr w:type="gramStart"/>
      <w:r>
        <w:rPr>
          <w:rFonts w:ascii="Arial" w:hAnsi="Arial" w:cs="Arial"/>
          <w:sz w:val="14"/>
          <w:szCs w:val="14"/>
        </w:rPr>
        <w:t>converted</w:t>
      </w:r>
      <w:proofErr w:type="gramEnd"/>
      <w:r>
        <w:rPr>
          <w:rFonts w:ascii="Arial" w:hAnsi="Arial" w:cs="Arial"/>
          <w:sz w:val="14"/>
          <w:szCs w:val="14"/>
        </w:rPr>
        <w:t xml:space="preserve"> into 1,474 shares of our common stock. </w:t>
      </w:r>
    </w:p>
    <w:p w14:paraId="597E9A82"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Ms. Pritzker elected to defer her cash and stock compensation. The compensation deferred </w:t>
      </w:r>
      <w:proofErr w:type="gramStart"/>
      <w:r>
        <w:rPr>
          <w:rFonts w:ascii="Arial" w:hAnsi="Arial" w:cs="Arial"/>
          <w:sz w:val="14"/>
          <w:szCs w:val="14"/>
        </w:rPr>
        <w:t>converted</w:t>
      </w:r>
      <w:proofErr w:type="gramEnd"/>
      <w:r>
        <w:rPr>
          <w:rFonts w:ascii="Arial" w:hAnsi="Arial" w:cs="Arial"/>
          <w:sz w:val="14"/>
          <w:szCs w:val="14"/>
        </w:rPr>
        <w:t xml:space="preserve"> into 1,422 shares of our common stock. </w:t>
      </w:r>
    </w:p>
    <w:p w14:paraId="68FA4F4E"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t xml:space="preserve">Mr. Rodriguez was appointed to chair of the Compensation Committee on March 15, 2023 and received a prorated cash retainer of $40,987 for the final quarter. He elected to defer his cash and stock compensation. The compensation deferred </w:t>
      </w:r>
      <w:proofErr w:type="gramStart"/>
      <w:r>
        <w:rPr>
          <w:rFonts w:ascii="Arial" w:hAnsi="Arial" w:cs="Arial"/>
          <w:sz w:val="14"/>
          <w:szCs w:val="14"/>
        </w:rPr>
        <w:t>converted</w:t>
      </w:r>
      <w:proofErr w:type="gramEnd"/>
      <w:r>
        <w:rPr>
          <w:rFonts w:ascii="Arial" w:hAnsi="Arial" w:cs="Arial"/>
          <w:sz w:val="14"/>
          <w:szCs w:val="14"/>
        </w:rPr>
        <w:t xml:space="preserve"> into 1,403 shares of our common stock. </w:t>
      </w:r>
    </w:p>
    <w:p w14:paraId="65C15A9F"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(8)</w:t>
      </w:r>
      <w:r>
        <w:rPr>
          <w:rFonts w:ascii="Arial" w:hAnsi="Arial" w:cs="Arial"/>
          <w:sz w:val="14"/>
          <w:szCs w:val="14"/>
        </w:rPr>
        <w:tab/>
        <w:t xml:space="preserve">Mr. Thompson stepped away from his role of Lead Independent Director and chair of the Governance and Nominating Committee on March 15, 2023 and received prorated stock retainers applicable to those roles for the final quarter. He elected to defer his stock compensation. The compensation deferred </w:t>
      </w:r>
      <w:proofErr w:type="gramStart"/>
      <w:r>
        <w:rPr>
          <w:rFonts w:ascii="Arial" w:hAnsi="Arial" w:cs="Arial"/>
          <w:sz w:val="14"/>
          <w:szCs w:val="14"/>
        </w:rPr>
        <w:t>converted</w:t>
      </w:r>
      <w:proofErr w:type="gramEnd"/>
      <w:r>
        <w:rPr>
          <w:rFonts w:ascii="Arial" w:hAnsi="Arial" w:cs="Arial"/>
          <w:sz w:val="14"/>
          <w:szCs w:val="14"/>
        </w:rPr>
        <w:t xml:space="preserve"> into 1,075 shares of our common stock. </w:t>
      </w:r>
    </w:p>
    <w:p w14:paraId="45BE6632"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(9)</w:t>
      </w:r>
      <w:r>
        <w:rPr>
          <w:rFonts w:ascii="Arial" w:hAnsi="Arial" w:cs="Arial"/>
          <w:sz w:val="14"/>
          <w:szCs w:val="14"/>
        </w:rPr>
        <w:tab/>
        <w:t xml:space="preserve">Ms. Warrior elected to defer a portion of her cash compensation. The compensation deferred </w:t>
      </w:r>
      <w:proofErr w:type="gramStart"/>
      <w:r>
        <w:rPr>
          <w:rFonts w:ascii="Arial" w:hAnsi="Arial" w:cs="Arial"/>
          <w:sz w:val="14"/>
          <w:szCs w:val="14"/>
        </w:rPr>
        <w:t>converted</w:t>
      </w:r>
      <w:proofErr w:type="gramEnd"/>
      <w:r>
        <w:rPr>
          <w:rFonts w:ascii="Arial" w:hAnsi="Arial" w:cs="Arial"/>
          <w:sz w:val="14"/>
          <w:szCs w:val="14"/>
        </w:rPr>
        <w:t xml:space="preserve"> into 229 shares of our common stock. </w:t>
      </w:r>
    </w:p>
    <w:p w14:paraId="62FCB52A" w14:textId="31C89951" w:rsidR="00D246A9" w:rsidRDefault="00D246A9" w:rsidP="006309E1">
      <w:pPr>
        <w:pStyle w:val="Heading4"/>
      </w:pPr>
      <w:r>
        <w:t xml:space="preserve">Lead Independent Director Compensation </w:t>
      </w:r>
    </w:p>
    <w:p w14:paraId="13BEFB74"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In March 2023, the independent directors elected Sandra Peterson as Lead Independent Director. She succeeds John Thompson, who had served in the roles of Lead Independent Director or Board Chair since 2012. The Lead Independent Director Retainer reflects the additional time commitment for the Lead Independent Director role given the unique responsibilities of the Lead Independent Director detailed in Section 1 of this Proxy Statement on page 14, which includes: </w:t>
      </w:r>
    </w:p>
    <w:p w14:paraId="20C159E6" w14:textId="77777777" w:rsidR="00D246A9" w:rsidRDefault="00D246A9" w:rsidP="00CD749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Leads the Board meetings when the Chairman and CEO is not present </w:t>
      </w:r>
    </w:p>
    <w:p w14:paraId="34A28E58" w14:textId="77777777" w:rsidR="00D246A9" w:rsidRDefault="00D246A9" w:rsidP="00CD749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Reviews and approves the agenda and schedule for Board meetings </w:t>
      </w:r>
    </w:p>
    <w:p w14:paraId="5B3B8BE0" w14:textId="77777777" w:rsidR="00D246A9" w:rsidRDefault="00D246A9" w:rsidP="00CD749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Calls meetings of the independent directors </w:t>
      </w:r>
    </w:p>
    <w:p w14:paraId="1671FC46" w14:textId="77777777" w:rsidR="00D246A9" w:rsidRDefault="00D246A9" w:rsidP="00CD749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Chairs executive sessions and coordinates activities of the independent directors </w:t>
      </w:r>
    </w:p>
    <w:p w14:paraId="2DE7D27C" w14:textId="77777777" w:rsidR="00D246A9" w:rsidRDefault="00D246A9" w:rsidP="00CD749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Leads the Board’s annual CEO performance evaluation </w:t>
      </w:r>
    </w:p>
    <w:p w14:paraId="3182BCB5" w14:textId="77777777" w:rsidR="00D246A9" w:rsidRDefault="00D246A9" w:rsidP="00CD749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Coordinates Board oversight of CEO succession planning, including maintenance of an emergency succession plan </w:t>
      </w:r>
    </w:p>
    <w:p w14:paraId="7F8E478A" w14:textId="77777777" w:rsidR="00D246A9" w:rsidRDefault="00D246A9" w:rsidP="00CD749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Chairs the annual shareholders meeting </w:t>
      </w:r>
    </w:p>
    <w:p w14:paraId="105B6688" w14:textId="77777777" w:rsidR="00D246A9" w:rsidRDefault="00D246A9" w:rsidP="00CD749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Acts as liaison between the independent directors and the Chairman and CEO </w:t>
      </w:r>
    </w:p>
    <w:p w14:paraId="1D792A61" w14:textId="77777777" w:rsidR="00D246A9" w:rsidRDefault="00D246A9" w:rsidP="00CD749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Authorizes retention of outside counsel, advisors, or other consultants who report directly to the Board </w:t>
      </w:r>
    </w:p>
    <w:p w14:paraId="4C5B7CD7" w14:textId="77777777" w:rsidR="00D246A9" w:rsidRDefault="00D246A9" w:rsidP="00CD749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When requested, represents the Board with internal and external audiences including shareholders </w:t>
      </w:r>
    </w:p>
    <w:p w14:paraId="6CD12762" w14:textId="77777777" w:rsidR="00D246A9" w:rsidRDefault="00D246A9">
      <w:pPr>
        <w:pStyle w:val="NormalWeb"/>
        <w:spacing w:before="240" w:beforeAutospacing="0" w:after="0" w:afterAutospacing="0"/>
        <w:rPr>
          <w:sz w:val="2"/>
          <w:szCs w:val="2"/>
        </w:rPr>
      </w:pPr>
      <w:r>
        <w:rPr>
          <w:sz w:val="2"/>
          <w:szCs w:val="2"/>
        </w:rPr>
        <w:t> </w:t>
      </w:r>
    </w:p>
    <w:p w14:paraId="2EE0CE4B" w14:textId="77777777" w:rsidR="00D246A9" w:rsidRDefault="00D246A9" w:rsidP="003B74F2">
      <w:pPr>
        <w:pStyle w:val="NormalWeb"/>
        <w:pageBreakBefore/>
        <w:spacing w:before="0" w:beforeAutospacing="0" w:after="0" w:afterAutospacing="0"/>
        <w:rPr>
          <w:rFonts w:ascii="Arial" w:hAnsi="Arial" w:cs="Arial"/>
          <w:sz w:val="50"/>
          <w:szCs w:val="50"/>
        </w:rPr>
      </w:pPr>
      <w:r>
        <w:rPr>
          <w:rFonts w:ascii="Arial" w:hAnsi="Arial" w:cs="Arial"/>
          <w:b/>
          <w:bCs/>
          <w:sz w:val="50"/>
          <w:szCs w:val="50"/>
        </w:rPr>
        <w:lastRenderedPageBreak/>
        <w:t xml:space="preserve">2. Named Executive Officer Compensation </w:t>
      </w:r>
    </w:p>
    <w:p w14:paraId="0156D81C" w14:textId="77777777" w:rsidR="00D246A9" w:rsidRDefault="00D246A9">
      <w:pPr>
        <w:pStyle w:val="NormalWeb"/>
        <w:keepNext/>
        <w:spacing w:before="0" w:beforeAutospacing="0" w:after="0" w:afterAutospacing="0"/>
      </w:pPr>
      <w:r>
        <w:t> </w:t>
      </w:r>
    </w:p>
    <w:p w14:paraId="7BAD5ADF" w14:textId="77777777" w:rsidR="00D246A9" w:rsidRDefault="00D246A9">
      <w:pPr>
        <w:pStyle w:val="rrdsinglerule"/>
        <w:pBdr>
          <w:top w:val="single" w:sz="6" w:space="0" w:color="0075C9"/>
        </w:pBdr>
        <w:spacing w:before="240"/>
      </w:pPr>
      <w:r>
        <w:t xml:space="preserve">  </w:t>
      </w:r>
    </w:p>
    <w:p w14:paraId="44841FC3" w14:textId="77777777" w:rsidR="00D246A9" w:rsidRDefault="00D246A9" w:rsidP="00B4165A">
      <w:pPr>
        <w:pStyle w:val="Heading3"/>
      </w:pPr>
      <w:bookmarkStart w:id="7" w:name="toc356108_8"/>
      <w:bookmarkEnd w:id="7"/>
      <w:r>
        <w:t xml:space="preserve">A Letter from the Compensation Committee </w:t>
      </w:r>
    </w:p>
    <w:p w14:paraId="1BC35FD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Dear Shareholder, </w:t>
      </w:r>
    </w:p>
    <w:p w14:paraId="3141B44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executive compensation program is designed to achieve strong alignment between our long-term strategic goals and our shareholders’ interests, while providing a competitive total pay opportunity to attract and retain the key executives who drive our business and develop the next generation of leaders. We are committed to continually reviewing our compensation program to ensure it is grounded in our pay-for-performance philosophy. </w:t>
      </w:r>
    </w:p>
    <w:p w14:paraId="40AE899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At the beginning of fiscal 2023, we faced a changing global macroeconomic environment, including increasing inflation and rising interest rates, resulting in financial headwinds which created challenges in goal setting for our executive compensation program. We nonetheless continued to set rigorous performance goals that included meaningful year-over-year growth across our performance metrics and focused on long-term alignment of executive compensation with shareholder interests. As a result, for fiscal year 2023, the financial metric-based portion of our annual cash incentives achieved 63.61% of target, and the PSA program core metrics achieved 99.65% of target. </w:t>
      </w:r>
    </w:p>
    <w:p w14:paraId="02E2739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Company continued with its active shareholder outreach program during fiscal year 2023, engaging investors representing approximately 50% of our shares outstanding. The Compensation Committee Chair and Lead Independent Director participated in calls with investors holding over 20% of outstanding shares to discuss a range of governance topics including the Board’s long-term approach to executive compensation. During fiscal year 2023, we continued to address shareholders’ desire to ensure the ongoing retention and motivation of Mr. Nadella, and the independent members of the Board continue to have high confidence in Mr. Nadella’s exceptional leadership of Microsoft. The Board continues its support of a compensation structure that delivers 100% of Mr. Nadella’s equity compensation via performance stock awards. Under this program, over 95% of Mr. Nadella’s annual target compensation opportunity is performance-based. Again, for fiscal year 2023, we set Mr. Nadella’s target performance stock award at $50,000,000, which we believe is the appropriate level of equity compensation for a leader with his extraordinary capabilities and responsibilities and for a company of Microsoft’s extraordinary scale and complexity. </w:t>
      </w:r>
    </w:p>
    <w:p w14:paraId="4478ADF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also continue to look carefully at emerging investor expectations and best practices for addressing environmental, social, and governance (“ESG”) commitments in our executive compensation program. We have been early leaders in this practice, having included an assessment of CEO and Senior Leadership Team (“SLT”) progress on culture and diversity and inclusion since 2016 as part of the operational assessment component of the annual cash incentive under our Executive Incentive Plan. The execution of our sustainability goals is also evaluated as part of this operational assessment component under the Culture, Diversity &amp; Sustainability category. We continue to seek feedback from investors and compensation experts as we thoughtfully consider future enhancements that connect executive compensation to Microsoft’s environmental and social commitments. </w:t>
      </w:r>
    </w:p>
    <w:p w14:paraId="64B59A5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are also pleased to report that Carlos Rodriguez was appointed as Chair of the Committee in March 2023. We continue to appreciate your support and welcome your feedback on our compensation program reflected in the following pages and look forward to continued dialogue in the future. </w:t>
      </w:r>
    </w:p>
    <w:p w14:paraId="25EFF24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Sincerely, </w:t>
      </w:r>
    </w:p>
    <w:p w14:paraId="012D3C8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The Compensation Committee</w:t>
      </w:r>
      <w:r>
        <w:rPr>
          <w:rFonts w:ascii="Arial" w:hAnsi="Arial" w:cs="Arial"/>
          <w:sz w:val="18"/>
          <w:szCs w:val="18"/>
        </w:rPr>
        <w:t xml:space="preserve"> </w:t>
      </w:r>
    </w:p>
    <w:p w14:paraId="3F7787CB"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Carlos A. Rodriguez (Chair) </w:t>
      </w:r>
    </w:p>
    <w:p w14:paraId="67A1498A"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Sandra E. Peterson </w:t>
      </w:r>
    </w:p>
    <w:p w14:paraId="318F33C9"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Charles W. Scharf </w:t>
      </w:r>
    </w:p>
    <w:p w14:paraId="5DC27B23"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Emma N. Walmsley </w:t>
      </w:r>
    </w:p>
    <w:p w14:paraId="08FAD4BF"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Padmasree Warrior </w:t>
      </w:r>
    </w:p>
    <w:p w14:paraId="19C04D80" w14:textId="77777777" w:rsidR="00D246A9" w:rsidRDefault="00D246A9">
      <w:pPr>
        <w:pStyle w:val="NormalWeb"/>
        <w:spacing w:before="240" w:beforeAutospacing="0" w:after="0" w:afterAutospacing="0"/>
        <w:rPr>
          <w:sz w:val="2"/>
          <w:szCs w:val="2"/>
        </w:rPr>
      </w:pPr>
      <w:r>
        <w:rPr>
          <w:sz w:val="2"/>
          <w:szCs w:val="2"/>
        </w:rPr>
        <w:t> </w:t>
      </w:r>
    </w:p>
    <w:p w14:paraId="0169DE20" w14:textId="77777777" w:rsidR="00D246A9" w:rsidRDefault="00D246A9" w:rsidP="003B74F2">
      <w:pPr>
        <w:pStyle w:val="rrdsinglerule"/>
        <w:pageBreakBefore/>
        <w:pBdr>
          <w:top w:val="single" w:sz="6" w:space="0" w:color="0075C9"/>
        </w:pBdr>
        <w:rPr>
          <w:sz w:val="24"/>
          <w:szCs w:val="24"/>
        </w:rPr>
      </w:pPr>
      <w:r>
        <w:lastRenderedPageBreak/>
        <w:t> </w:t>
      </w:r>
    </w:p>
    <w:p w14:paraId="557B350F" w14:textId="77777777" w:rsidR="00D246A9" w:rsidRDefault="00D246A9" w:rsidP="00B4165A">
      <w:pPr>
        <w:pStyle w:val="Heading3"/>
      </w:pPr>
      <w:bookmarkStart w:id="8" w:name="toc356108_9"/>
      <w:bookmarkEnd w:id="8"/>
      <w:r>
        <w:t xml:space="preserve">Compensation Discussion and Analysis </w:t>
      </w:r>
    </w:p>
    <w:p w14:paraId="72AF6C92"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Compensation Discussion and Analysis provides information about our fiscal year 2023 compensation program for our fiscal year 2023 Named Executives (“NEOs”), who are: Satya Nadella, Amy Hood, Bradford Smith, Judson Althoff, and Chris Young. The content of this Compensation Discussion and Analysis is organized into six sections: </w:t>
      </w:r>
    </w:p>
    <w:p w14:paraId="4EE50676" w14:textId="4A8EC0BA" w:rsidR="00D246A9" w:rsidRDefault="004D4739" w:rsidP="004D4739">
      <w:pPr>
        <w:pStyle w:val="NormalWeb"/>
        <w:keepNext/>
        <w:spacing w:before="80" w:beforeAutospacing="0" w:after="80" w:afterAutospacing="0"/>
        <w:jc w:val="center"/>
        <w:rPr>
          <w:sz w:val="12"/>
          <w:szCs w:val="12"/>
        </w:rPr>
      </w:pPr>
      <w:r>
        <w:rPr>
          <w:rFonts w:ascii="Arial" w:hAnsi="Arial" w:cs="Arial"/>
          <w:b/>
          <w:bCs/>
        </w:rPr>
        <w:t>Table of Contents</w:t>
      </w:r>
    </w:p>
    <w:p w14:paraId="2903772E" w14:textId="77777777" w:rsidR="00D246A9" w:rsidRDefault="00D246A9">
      <w:pPr>
        <w:rPr>
          <w:vanish/>
        </w:rPr>
      </w:pPr>
    </w:p>
    <w:tbl>
      <w:tblPr>
        <w:tblW w:w="0" w:type="auto"/>
        <w:jc w:val="center"/>
        <w:tblLayout w:type="fixed"/>
        <w:tblCellMar>
          <w:left w:w="0" w:type="dxa"/>
          <w:right w:w="0" w:type="dxa"/>
        </w:tblCellMar>
        <w:tblLook w:val="0600" w:firstRow="0" w:lastRow="0" w:firstColumn="0" w:lastColumn="0" w:noHBand="1" w:noVBand="1"/>
      </w:tblPr>
      <w:tblGrid>
        <w:gridCol w:w="10044"/>
        <w:gridCol w:w="756"/>
      </w:tblGrid>
      <w:tr w:rsidR="00D246A9" w14:paraId="4CE5D405" w14:textId="77777777" w:rsidTr="00A50259">
        <w:trPr>
          <w:cantSplit/>
          <w:jc w:val="center"/>
        </w:trPr>
        <w:tc>
          <w:tcPr>
            <w:tcW w:w="10044" w:type="dxa"/>
            <w:hideMark/>
          </w:tcPr>
          <w:p w14:paraId="7DD6E027" w14:textId="3B0D27DA" w:rsidR="00D246A9" w:rsidRPr="00306F7C" w:rsidRDefault="00D246A9" w:rsidP="004D4739">
            <w:pPr>
              <w:pStyle w:val="NormalWeb"/>
              <w:tabs>
                <w:tab w:val="right" w:leader="dot" w:pos="10040"/>
              </w:tabs>
              <w:spacing w:before="0" w:beforeAutospacing="0" w:after="80" w:afterAutospacing="0"/>
              <w:rPr>
                <w:rFonts w:ascii="Arial" w:hAnsi="Arial" w:cs="Arial"/>
                <w:sz w:val="22"/>
                <w:szCs w:val="22"/>
              </w:rPr>
            </w:pPr>
            <w:r w:rsidRPr="00DB3A76">
              <w:rPr>
                <w:rFonts w:ascii="Arial" w:hAnsi="Arial" w:cs="Arial"/>
                <w:b/>
                <w:bCs/>
                <w:sz w:val="22"/>
                <w:szCs w:val="22"/>
              </w:rPr>
              <w:t xml:space="preserve">Section 1 – Performance Update </w:t>
            </w:r>
            <w:r w:rsidR="00FE0A0A" w:rsidRPr="00FE0A0A">
              <w:rPr>
                <w:rFonts w:ascii="Arial" w:hAnsi="Arial" w:cs="Arial"/>
                <w:bCs/>
                <w:sz w:val="22"/>
                <w:szCs w:val="22"/>
              </w:rPr>
              <w:tab/>
            </w:r>
          </w:p>
        </w:tc>
        <w:tc>
          <w:tcPr>
            <w:tcW w:w="756" w:type="dxa"/>
            <w:noWrap/>
            <w:tcMar>
              <w:top w:w="0" w:type="dxa"/>
              <w:left w:w="144" w:type="dxa"/>
              <w:bottom w:w="0" w:type="dxa"/>
              <w:right w:w="0" w:type="dxa"/>
            </w:tcMar>
            <w:vAlign w:val="bottom"/>
            <w:hideMark/>
          </w:tcPr>
          <w:p w14:paraId="3762305B" w14:textId="77777777" w:rsidR="00D246A9" w:rsidRDefault="00D246A9" w:rsidP="004D4739">
            <w:pPr>
              <w:spacing w:after="80"/>
              <w:rPr>
                <w:rFonts w:ascii="Arial" w:hAnsi="Arial" w:cs="Arial"/>
                <w:sz w:val="22"/>
                <w:szCs w:val="22"/>
              </w:rPr>
            </w:pPr>
            <w:r>
              <w:rPr>
                <w:rFonts w:ascii="Arial" w:hAnsi="Arial" w:cs="Arial"/>
                <w:b/>
                <w:bCs/>
                <w:sz w:val="22"/>
                <w:szCs w:val="22"/>
              </w:rPr>
              <w:t>p. 31</w:t>
            </w:r>
          </w:p>
        </w:tc>
      </w:tr>
      <w:tr w:rsidR="00D246A9" w14:paraId="3B56D794" w14:textId="77777777" w:rsidTr="00A50259">
        <w:trPr>
          <w:cantSplit/>
          <w:jc w:val="center"/>
        </w:trPr>
        <w:tc>
          <w:tcPr>
            <w:tcW w:w="10044" w:type="dxa"/>
            <w:hideMark/>
          </w:tcPr>
          <w:p w14:paraId="7183F1F6" w14:textId="68C49751" w:rsidR="00D246A9" w:rsidRPr="00306F7C" w:rsidRDefault="00D246A9" w:rsidP="004D4739">
            <w:pPr>
              <w:pStyle w:val="NormalWeb"/>
              <w:tabs>
                <w:tab w:val="right" w:leader="dot" w:pos="10040"/>
              </w:tabs>
              <w:spacing w:before="0" w:beforeAutospacing="0" w:after="80" w:afterAutospacing="0"/>
              <w:rPr>
                <w:rFonts w:ascii="Arial" w:hAnsi="Arial" w:cs="Arial"/>
                <w:sz w:val="22"/>
                <w:szCs w:val="22"/>
              </w:rPr>
            </w:pPr>
            <w:r w:rsidRPr="00DB3A76">
              <w:rPr>
                <w:rFonts w:ascii="Arial" w:hAnsi="Arial" w:cs="Arial"/>
                <w:b/>
                <w:bCs/>
                <w:sz w:val="22"/>
                <w:szCs w:val="22"/>
              </w:rPr>
              <w:t xml:space="preserve">Section 2 – Executive Compensation Program </w:t>
            </w:r>
            <w:r w:rsidR="00FE0A0A" w:rsidRPr="00FE0A0A">
              <w:rPr>
                <w:rFonts w:ascii="Arial" w:hAnsi="Arial" w:cs="Arial"/>
                <w:bCs/>
                <w:sz w:val="22"/>
                <w:szCs w:val="22"/>
              </w:rPr>
              <w:tab/>
            </w:r>
          </w:p>
        </w:tc>
        <w:tc>
          <w:tcPr>
            <w:tcW w:w="756" w:type="dxa"/>
            <w:noWrap/>
            <w:tcMar>
              <w:top w:w="0" w:type="dxa"/>
              <w:left w:w="144" w:type="dxa"/>
              <w:bottom w:w="0" w:type="dxa"/>
              <w:right w:w="0" w:type="dxa"/>
            </w:tcMar>
            <w:vAlign w:val="bottom"/>
            <w:hideMark/>
          </w:tcPr>
          <w:p w14:paraId="6DE668FE" w14:textId="77777777" w:rsidR="00D246A9" w:rsidRDefault="00D246A9" w:rsidP="004D4739">
            <w:pPr>
              <w:spacing w:after="80"/>
              <w:rPr>
                <w:rFonts w:ascii="Arial" w:hAnsi="Arial" w:cs="Arial"/>
                <w:sz w:val="22"/>
                <w:szCs w:val="22"/>
              </w:rPr>
            </w:pPr>
            <w:r>
              <w:rPr>
                <w:rFonts w:ascii="Arial" w:hAnsi="Arial" w:cs="Arial"/>
                <w:b/>
                <w:bCs/>
                <w:sz w:val="22"/>
                <w:szCs w:val="22"/>
              </w:rPr>
              <w:t>p. 35</w:t>
            </w:r>
          </w:p>
        </w:tc>
      </w:tr>
      <w:tr w:rsidR="00D246A9" w14:paraId="3A008D4A" w14:textId="77777777" w:rsidTr="00A50259">
        <w:trPr>
          <w:cantSplit/>
          <w:jc w:val="center"/>
        </w:trPr>
        <w:tc>
          <w:tcPr>
            <w:tcW w:w="10044" w:type="dxa"/>
            <w:hideMark/>
          </w:tcPr>
          <w:p w14:paraId="73565812" w14:textId="09E9D727" w:rsidR="00D246A9" w:rsidRPr="00306F7C" w:rsidRDefault="00D246A9" w:rsidP="004D4739">
            <w:pPr>
              <w:pStyle w:val="NormalWeb"/>
              <w:tabs>
                <w:tab w:val="right" w:leader="dot" w:pos="10040"/>
              </w:tabs>
              <w:spacing w:before="0" w:beforeAutospacing="0" w:after="80" w:afterAutospacing="0"/>
              <w:rPr>
                <w:rFonts w:ascii="Arial" w:hAnsi="Arial" w:cs="Arial"/>
                <w:sz w:val="22"/>
                <w:szCs w:val="22"/>
              </w:rPr>
            </w:pPr>
            <w:r w:rsidRPr="00DB3A76">
              <w:rPr>
                <w:rFonts w:ascii="Arial" w:hAnsi="Arial" w:cs="Arial"/>
                <w:b/>
                <w:bCs/>
                <w:sz w:val="22"/>
                <w:szCs w:val="22"/>
              </w:rPr>
              <w:t xml:space="preserve">Section 3 – Pay Setting Governance and Process </w:t>
            </w:r>
            <w:r w:rsidR="00FE0A0A" w:rsidRPr="00FE0A0A">
              <w:rPr>
                <w:rFonts w:ascii="Arial" w:hAnsi="Arial" w:cs="Arial"/>
                <w:bCs/>
                <w:sz w:val="22"/>
                <w:szCs w:val="22"/>
              </w:rPr>
              <w:tab/>
            </w:r>
          </w:p>
        </w:tc>
        <w:tc>
          <w:tcPr>
            <w:tcW w:w="756" w:type="dxa"/>
            <w:noWrap/>
            <w:tcMar>
              <w:top w:w="0" w:type="dxa"/>
              <w:left w:w="144" w:type="dxa"/>
              <w:bottom w:w="0" w:type="dxa"/>
              <w:right w:w="0" w:type="dxa"/>
            </w:tcMar>
            <w:vAlign w:val="bottom"/>
            <w:hideMark/>
          </w:tcPr>
          <w:p w14:paraId="527DAA71" w14:textId="77777777" w:rsidR="00D246A9" w:rsidRDefault="00D246A9" w:rsidP="004D4739">
            <w:pPr>
              <w:spacing w:after="80"/>
              <w:rPr>
                <w:rFonts w:ascii="Arial" w:hAnsi="Arial" w:cs="Arial"/>
                <w:sz w:val="22"/>
                <w:szCs w:val="22"/>
              </w:rPr>
            </w:pPr>
            <w:r>
              <w:rPr>
                <w:rFonts w:ascii="Arial" w:hAnsi="Arial" w:cs="Arial"/>
                <w:b/>
                <w:bCs/>
                <w:sz w:val="22"/>
                <w:szCs w:val="22"/>
              </w:rPr>
              <w:t>p. 37</w:t>
            </w:r>
          </w:p>
        </w:tc>
      </w:tr>
      <w:tr w:rsidR="00D246A9" w14:paraId="01C8BD54" w14:textId="77777777" w:rsidTr="00A50259">
        <w:trPr>
          <w:cantSplit/>
          <w:jc w:val="center"/>
        </w:trPr>
        <w:tc>
          <w:tcPr>
            <w:tcW w:w="10044" w:type="dxa"/>
            <w:hideMark/>
          </w:tcPr>
          <w:p w14:paraId="35425AA6" w14:textId="0A009547" w:rsidR="00D246A9" w:rsidRPr="00306F7C" w:rsidRDefault="00D246A9" w:rsidP="004D4739">
            <w:pPr>
              <w:pStyle w:val="NormalWeb"/>
              <w:tabs>
                <w:tab w:val="right" w:leader="dot" w:pos="10040"/>
              </w:tabs>
              <w:spacing w:before="0" w:beforeAutospacing="0" w:after="80" w:afterAutospacing="0"/>
              <w:rPr>
                <w:rFonts w:ascii="Arial" w:hAnsi="Arial" w:cs="Arial"/>
                <w:sz w:val="22"/>
                <w:szCs w:val="22"/>
              </w:rPr>
            </w:pPr>
            <w:r w:rsidRPr="00DB3A76">
              <w:rPr>
                <w:rFonts w:ascii="Arial" w:hAnsi="Arial" w:cs="Arial"/>
                <w:b/>
                <w:bCs/>
                <w:sz w:val="22"/>
                <w:szCs w:val="22"/>
              </w:rPr>
              <w:t xml:space="preserve">Section 4 – Fiscal Year 2023 Compensation Program Design </w:t>
            </w:r>
            <w:r w:rsidR="00FE0A0A" w:rsidRPr="00FE0A0A">
              <w:rPr>
                <w:rFonts w:ascii="Arial" w:hAnsi="Arial" w:cs="Arial"/>
                <w:bCs/>
                <w:sz w:val="22"/>
                <w:szCs w:val="22"/>
              </w:rPr>
              <w:tab/>
            </w:r>
          </w:p>
        </w:tc>
        <w:tc>
          <w:tcPr>
            <w:tcW w:w="756" w:type="dxa"/>
            <w:noWrap/>
            <w:tcMar>
              <w:top w:w="0" w:type="dxa"/>
              <w:left w:w="144" w:type="dxa"/>
              <w:bottom w:w="0" w:type="dxa"/>
              <w:right w:w="0" w:type="dxa"/>
            </w:tcMar>
            <w:vAlign w:val="bottom"/>
            <w:hideMark/>
          </w:tcPr>
          <w:p w14:paraId="4D9C572A" w14:textId="77777777" w:rsidR="00D246A9" w:rsidRDefault="00D246A9" w:rsidP="004D4739">
            <w:pPr>
              <w:spacing w:after="80"/>
              <w:rPr>
                <w:rFonts w:ascii="Arial" w:hAnsi="Arial" w:cs="Arial"/>
                <w:sz w:val="22"/>
                <w:szCs w:val="22"/>
              </w:rPr>
            </w:pPr>
            <w:r>
              <w:rPr>
                <w:rFonts w:ascii="Arial" w:hAnsi="Arial" w:cs="Arial"/>
                <w:b/>
                <w:bCs/>
                <w:sz w:val="22"/>
                <w:szCs w:val="22"/>
              </w:rPr>
              <w:t>p. 39</w:t>
            </w:r>
          </w:p>
        </w:tc>
      </w:tr>
      <w:tr w:rsidR="00D246A9" w14:paraId="5E3F917C" w14:textId="77777777" w:rsidTr="00A50259">
        <w:trPr>
          <w:cantSplit/>
          <w:jc w:val="center"/>
        </w:trPr>
        <w:tc>
          <w:tcPr>
            <w:tcW w:w="10044" w:type="dxa"/>
            <w:hideMark/>
          </w:tcPr>
          <w:p w14:paraId="50562DBD" w14:textId="5BD24DAB" w:rsidR="00D246A9" w:rsidRPr="00306F7C" w:rsidRDefault="00D246A9" w:rsidP="004D4739">
            <w:pPr>
              <w:pStyle w:val="NormalWeb"/>
              <w:tabs>
                <w:tab w:val="right" w:leader="dot" w:pos="10040"/>
              </w:tabs>
              <w:spacing w:before="0" w:beforeAutospacing="0" w:after="80" w:afterAutospacing="0"/>
              <w:rPr>
                <w:rFonts w:ascii="Arial" w:hAnsi="Arial" w:cs="Arial"/>
                <w:sz w:val="22"/>
                <w:szCs w:val="22"/>
              </w:rPr>
            </w:pPr>
            <w:r w:rsidRPr="00DB3A76">
              <w:rPr>
                <w:rFonts w:ascii="Arial" w:hAnsi="Arial" w:cs="Arial"/>
                <w:b/>
                <w:bCs/>
                <w:sz w:val="22"/>
                <w:szCs w:val="22"/>
              </w:rPr>
              <w:t xml:space="preserve">Section 5 – Fiscal Year 2023 Compensation Decisions and Results </w:t>
            </w:r>
            <w:r w:rsidR="00FE0A0A" w:rsidRPr="00FE0A0A">
              <w:rPr>
                <w:rFonts w:ascii="Arial" w:hAnsi="Arial" w:cs="Arial"/>
                <w:bCs/>
                <w:sz w:val="22"/>
                <w:szCs w:val="22"/>
              </w:rPr>
              <w:tab/>
            </w:r>
          </w:p>
        </w:tc>
        <w:tc>
          <w:tcPr>
            <w:tcW w:w="756" w:type="dxa"/>
            <w:noWrap/>
            <w:tcMar>
              <w:top w:w="0" w:type="dxa"/>
              <w:left w:w="144" w:type="dxa"/>
              <w:bottom w:w="0" w:type="dxa"/>
              <w:right w:w="0" w:type="dxa"/>
            </w:tcMar>
            <w:vAlign w:val="bottom"/>
            <w:hideMark/>
          </w:tcPr>
          <w:p w14:paraId="152597DC" w14:textId="77777777" w:rsidR="00D246A9" w:rsidRDefault="00D246A9" w:rsidP="004D4739">
            <w:pPr>
              <w:spacing w:after="80"/>
              <w:rPr>
                <w:rFonts w:ascii="Arial" w:hAnsi="Arial" w:cs="Arial"/>
                <w:sz w:val="22"/>
                <w:szCs w:val="22"/>
              </w:rPr>
            </w:pPr>
            <w:r>
              <w:rPr>
                <w:rFonts w:ascii="Arial" w:hAnsi="Arial" w:cs="Arial"/>
                <w:b/>
                <w:bCs/>
                <w:sz w:val="22"/>
                <w:szCs w:val="22"/>
              </w:rPr>
              <w:t>p. 43</w:t>
            </w:r>
          </w:p>
        </w:tc>
      </w:tr>
      <w:tr w:rsidR="00D246A9" w14:paraId="1DAFA665" w14:textId="77777777" w:rsidTr="00A50259">
        <w:trPr>
          <w:cantSplit/>
          <w:jc w:val="center"/>
        </w:trPr>
        <w:tc>
          <w:tcPr>
            <w:tcW w:w="10044" w:type="dxa"/>
            <w:tcBorders>
              <w:bottom w:val="single" w:sz="8" w:space="0" w:color="FFFFFF" w:themeColor="background1"/>
            </w:tcBorders>
            <w:hideMark/>
          </w:tcPr>
          <w:p w14:paraId="06009496" w14:textId="004C28AD" w:rsidR="00D246A9" w:rsidRPr="00306F7C" w:rsidRDefault="00D246A9" w:rsidP="004D4739">
            <w:pPr>
              <w:pStyle w:val="NormalWeb"/>
              <w:tabs>
                <w:tab w:val="right" w:leader="dot" w:pos="10040"/>
              </w:tabs>
              <w:spacing w:before="0" w:beforeAutospacing="0" w:after="80" w:afterAutospacing="0"/>
              <w:rPr>
                <w:rFonts w:ascii="Arial" w:hAnsi="Arial" w:cs="Arial"/>
                <w:sz w:val="22"/>
                <w:szCs w:val="22"/>
              </w:rPr>
            </w:pPr>
            <w:r w:rsidRPr="00DB3A76">
              <w:rPr>
                <w:rFonts w:ascii="Arial" w:hAnsi="Arial" w:cs="Arial"/>
                <w:b/>
                <w:bCs/>
                <w:sz w:val="22"/>
                <w:szCs w:val="22"/>
              </w:rPr>
              <w:t xml:space="preserve">Section 6 – Other Compensation Policies and Information </w:t>
            </w:r>
            <w:r w:rsidR="00FE0A0A" w:rsidRPr="00FE0A0A">
              <w:rPr>
                <w:rFonts w:ascii="Arial" w:hAnsi="Arial" w:cs="Arial"/>
                <w:bCs/>
                <w:sz w:val="22"/>
                <w:szCs w:val="22"/>
              </w:rPr>
              <w:tab/>
            </w:r>
          </w:p>
        </w:tc>
        <w:tc>
          <w:tcPr>
            <w:tcW w:w="756" w:type="dxa"/>
            <w:tcBorders>
              <w:bottom w:val="single" w:sz="8" w:space="0" w:color="FFFFFF" w:themeColor="background1"/>
            </w:tcBorders>
            <w:noWrap/>
            <w:tcMar>
              <w:top w:w="0" w:type="dxa"/>
              <w:left w:w="144" w:type="dxa"/>
              <w:bottom w:w="0" w:type="dxa"/>
              <w:right w:w="0" w:type="dxa"/>
            </w:tcMar>
            <w:vAlign w:val="bottom"/>
            <w:hideMark/>
          </w:tcPr>
          <w:p w14:paraId="40371F11" w14:textId="6D3DCE0D" w:rsidR="00D246A9" w:rsidRPr="004D4739" w:rsidRDefault="00D246A9" w:rsidP="004D4739">
            <w:pPr>
              <w:spacing w:after="80"/>
              <w:rPr>
                <w:rFonts w:ascii="Arial" w:hAnsi="Arial" w:cs="Arial"/>
                <w:sz w:val="22"/>
                <w:szCs w:val="22"/>
              </w:rPr>
            </w:pPr>
            <w:r>
              <w:rPr>
                <w:rFonts w:ascii="Arial" w:hAnsi="Arial" w:cs="Arial"/>
                <w:b/>
                <w:bCs/>
                <w:sz w:val="22"/>
                <w:szCs w:val="22"/>
              </w:rPr>
              <w:t>p. 48</w:t>
            </w:r>
            <w:r>
              <w:rPr>
                <w:rFonts w:ascii="Arial" w:hAnsi="Arial" w:cs="Arial"/>
                <w:sz w:val="22"/>
                <w:szCs w:val="22"/>
              </w:rPr>
              <w:t xml:space="preserve"> </w:t>
            </w:r>
          </w:p>
        </w:tc>
      </w:tr>
    </w:tbl>
    <w:p w14:paraId="768F34A6" w14:textId="77777777"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executive compensation program is thoughtfully designed by our Compensation Committee and Board of Directors to align to Microsoft’s long-term strategy, and over the years we have evolved our executive pay program while maintaining an overarching compensation philosophy aimed at achieving strong alignment between our long-term strategic goals and our shareholders’ interests. </w:t>
      </w:r>
    </w:p>
    <w:p w14:paraId="6EE3BAD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current executive compensation program has been structured to align with the business strategy that has been defined by the Board and Mr. Nadella, and each year, the Compensation Committee reviews the existing incentive structure, taking into consideration investor feedback, business performance, and our strategic roadmap, when considering the efficacy of further enhancements. </w:t>
      </w:r>
    </w:p>
    <w:p w14:paraId="3183B1BC" w14:textId="77777777" w:rsidR="00D246A9" w:rsidRDefault="00D246A9">
      <w:pPr>
        <w:pStyle w:val="rrdsinglerule"/>
        <w:pBdr>
          <w:top w:val="single" w:sz="6" w:space="0" w:color="0075C9"/>
        </w:pBdr>
        <w:spacing w:before="480"/>
        <w:rPr>
          <w:sz w:val="24"/>
          <w:szCs w:val="24"/>
        </w:rPr>
      </w:pPr>
      <w:r>
        <w:t xml:space="preserve">  </w:t>
      </w:r>
    </w:p>
    <w:p w14:paraId="244634DE" w14:textId="77777777" w:rsidR="00D246A9" w:rsidRDefault="00D246A9" w:rsidP="00B4165A">
      <w:pPr>
        <w:pStyle w:val="Heading3"/>
      </w:pPr>
      <w:bookmarkStart w:id="9" w:name="toc356108_10"/>
      <w:bookmarkEnd w:id="9"/>
      <w:r>
        <w:t xml:space="preserve">Section 1 – Performance Update </w:t>
      </w:r>
    </w:p>
    <w:p w14:paraId="3466EBA3" w14:textId="77777777" w:rsidR="00D246A9" w:rsidRDefault="00D246A9" w:rsidP="006309E1">
      <w:pPr>
        <w:pStyle w:val="Heading4"/>
      </w:pPr>
      <w:r>
        <w:t xml:space="preserve">Achieving Strong Financial Results </w:t>
      </w:r>
    </w:p>
    <w:p w14:paraId="6B6A8E86"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strong business execution throughout fiscal year 2023 achieved the following financial performance: </w:t>
      </w:r>
    </w:p>
    <w:p w14:paraId="71EAA15D" w14:textId="77777777" w:rsidR="00D246A9" w:rsidRDefault="00D246A9" w:rsidP="00212B0B">
      <w:pPr>
        <w:pStyle w:val="Heading5"/>
      </w:pPr>
      <w:r>
        <w:t xml:space="preserve">Fiscal Year 2023 Business Performance </w:t>
      </w:r>
    </w:p>
    <w:p w14:paraId="513D6232" w14:textId="481B314E" w:rsidR="00D246A9" w:rsidRDefault="00D246A9">
      <w:pPr>
        <w:pStyle w:val="NormalWeb"/>
        <w:keepNext/>
        <w:spacing w:before="0" w:beforeAutospacing="0" w:after="0" w:afterAutospacing="0"/>
      </w:pPr>
      <w:r>
        <w:t> </w:t>
      </w:r>
      <w:r w:rsidR="00F35E5D">
        <w:rPr>
          <w:noProof/>
        </w:rPr>
        <w:drawing>
          <wp:inline distT="0" distB="0" distL="0" distR="0" wp14:anchorId="563F4CC2" wp14:editId="3A438340">
            <wp:extent cx="6858000" cy="469900"/>
            <wp:effectExtent l="0" t="0" r="0" b="6350"/>
            <wp:docPr id="363005880" name="Picture 16" descr="Revenue, 211.9 billion dollars.&#10;Operating income, 88.5 billion dollars.&#10;Net income, 72.4 billion dollars.&#10;Diluted earnings per sha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05880" name="Picture 16" descr="Revenue, 211.9 billion dollars.&#10;Operating income, 88.5 billion dollars.&#10;Net income, 72.4 billion dollars.&#10;Diluted earnings per share, $9.68"/>
                    <pic:cNvPicPr/>
                  </pic:nvPicPr>
                  <pic:blipFill>
                    <a:blip r:embed="rId51">
                      <a:extLst>
                        <a:ext uri="{28A0092B-C50C-407E-A947-70E740481C1C}">
                          <a14:useLocalDpi xmlns:a14="http://schemas.microsoft.com/office/drawing/2010/main" val="0"/>
                        </a:ext>
                      </a:extLst>
                    </a:blip>
                    <a:stretch>
                      <a:fillRect/>
                    </a:stretch>
                  </pic:blipFill>
                  <pic:spPr>
                    <a:xfrm>
                      <a:off x="0" y="0"/>
                      <a:ext cx="6858000" cy="469900"/>
                    </a:xfrm>
                    <a:prstGeom prst="rect">
                      <a:avLst/>
                    </a:prstGeom>
                  </pic:spPr>
                </pic:pic>
              </a:graphicData>
            </a:graphic>
          </wp:inline>
        </w:drawing>
      </w:r>
    </w:p>
    <w:p w14:paraId="28225AE7" w14:textId="77777777"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Selected highlights from fiscal year 2023 include the following metrics. Percentages are year-over-year. </w:t>
      </w:r>
    </w:p>
    <w:p w14:paraId="490609CC" w14:textId="77777777" w:rsidR="00D246A9" w:rsidRDefault="00D246A9" w:rsidP="003A3DFA">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Microsoft Cloud revenue increased 22% to $111.6 billion </w:t>
      </w:r>
    </w:p>
    <w:p w14:paraId="07B2B94F" w14:textId="77777777" w:rsidR="00D246A9" w:rsidRDefault="00D246A9" w:rsidP="003A3DFA">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Office Commercial products and cloud services revenue increased 10% </w:t>
      </w:r>
    </w:p>
    <w:p w14:paraId="6E7BAD90" w14:textId="77777777" w:rsidR="00D246A9" w:rsidRDefault="00D246A9" w:rsidP="003A3DFA">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Office Consumer products and cloud services revenue increased 2% </w:t>
      </w:r>
    </w:p>
    <w:p w14:paraId="19BE716A" w14:textId="77777777" w:rsidR="00D246A9" w:rsidRDefault="00D246A9" w:rsidP="003A3DFA">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LinkedIn revenue increased 10% </w:t>
      </w:r>
    </w:p>
    <w:p w14:paraId="3A11ABFA" w14:textId="77777777" w:rsidR="00D246A9" w:rsidRDefault="00D246A9" w:rsidP="003A3DFA">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Dynamics products and cloud services revenue increased 16% </w:t>
      </w:r>
    </w:p>
    <w:p w14:paraId="52FF5FB3" w14:textId="77777777" w:rsidR="00D246A9" w:rsidRDefault="00D246A9" w:rsidP="003A3DFA">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Server products and cloud services revenue increased 19% </w:t>
      </w:r>
    </w:p>
    <w:p w14:paraId="2A07339D" w14:textId="77777777" w:rsidR="00D246A9" w:rsidRDefault="00D246A9" w:rsidP="003A3DFA">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Windows Commercial products and cloud services revenue increased 5% </w:t>
      </w:r>
    </w:p>
    <w:p w14:paraId="7153E2DA" w14:textId="77777777" w:rsidR="00D246A9" w:rsidRDefault="00D246A9" w:rsidP="003A3DFA">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Search and news advertising revenue excluding traffic acquisition costs increased 11% </w:t>
      </w:r>
    </w:p>
    <w:p w14:paraId="3A32B6B6" w14:textId="77777777" w:rsidR="00D246A9" w:rsidRDefault="00D246A9">
      <w:pPr>
        <w:pStyle w:val="NormalWeb"/>
        <w:spacing w:before="90" w:beforeAutospacing="0" w:after="0" w:afterAutospacing="0"/>
        <w:rPr>
          <w:sz w:val="2"/>
          <w:szCs w:val="2"/>
        </w:rPr>
      </w:pPr>
      <w:r>
        <w:rPr>
          <w:sz w:val="2"/>
          <w:szCs w:val="2"/>
        </w:rPr>
        <w:t> </w:t>
      </w:r>
    </w:p>
    <w:p w14:paraId="46984526" w14:textId="77777777" w:rsidR="00D246A9" w:rsidRDefault="00D246A9" w:rsidP="003B74F2">
      <w:pPr>
        <w:pStyle w:val="NormalWeb"/>
        <w:pageBreakBefore/>
        <w:spacing w:before="0" w:beforeAutospacing="0" w:after="0" w:afterAutospacing="0"/>
        <w:rPr>
          <w:rFonts w:ascii="Arial" w:hAnsi="Arial" w:cs="Arial"/>
          <w:sz w:val="18"/>
          <w:szCs w:val="18"/>
        </w:rPr>
      </w:pPr>
      <w:r>
        <w:rPr>
          <w:rFonts w:ascii="Arial" w:hAnsi="Arial" w:cs="Arial"/>
          <w:sz w:val="18"/>
          <w:szCs w:val="18"/>
        </w:rPr>
        <w:lastRenderedPageBreak/>
        <w:t xml:space="preserve">A complete list of our fiscal year 2023 key performance metrics and their definitions is available in our Form 10-K for the fiscal year ended June 30, 2023. </w:t>
      </w:r>
    </w:p>
    <w:p w14:paraId="5AA1A542" w14:textId="77777777" w:rsidR="00D246A9" w:rsidRDefault="00D246A9" w:rsidP="00212B0B">
      <w:pPr>
        <w:pStyle w:val="Heading5"/>
      </w:pPr>
      <w:r>
        <w:t xml:space="preserve">Superior Shareholder Returns </w:t>
      </w:r>
    </w:p>
    <w:p w14:paraId="36DB39B7" w14:textId="35C202B6" w:rsidR="003A3DFA" w:rsidRPr="00306F7C" w:rsidRDefault="003A3DFA" w:rsidP="003A3DFA">
      <w:pPr>
        <w:pStyle w:val="NormalWeb"/>
        <w:spacing w:before="0" w:beforeAutospacing="0" w:after="0" w:afterAutospacing="0"/>
        <w:jc w:val="center"/>
        <w:rPr>
          <w:rFonts w:ascii="Arial" w:hAnsi="Arial" w:cs="Arial"/>
          <w:sz w:val="18"/>
          <w:szCs w:val="18"/>
        </w:rPr>
      </w:pPr>
      <w:r>
        <w:rPr>
          <w:rFonts w:ascii="Arial" w:hAnsi="Arial" w:cs="Arial"/>
          <w:b/>
          <w:bCs/>
          <w:sz w:val="18"/>
          <w:szCs w:val="18"/>
        </w:rPr>
        <w:t>Annual Cumulative Total Shareholder Return</w:t>
      </w:r>
    </w:p>
    <w:p w14:paraId="13420417" w14:textId="77777777" w:rsidR="003A3DFA" w:rsidRDefault="003A3DFA" w:rsidP="003A3DFA">
      <w:pPr>
        <w:pStyle w:val="NormalWeb"/>
        <w:spacing w:before="0" w:beforeAutospacing="0" w:after="0" w:afterAutospacing="0"/>
        <w:jc w:val="center"/>
        <w:rPr>
          <w:rFonts w:ascii="Arial" w:hAnsi="Arial" w:cs="Arial"/>
          <w:sz w:val="18"/>
          <w:szCs w:val="18"/>
        </w:rPr>
      </w:pPr>
      <w:r>
        <w:rPr>
          <w:rFonts w:ascii="Arial" w:hAnsi="Arial" w:cs="Arial"/>
          <w:b/>
          <w:bCs/>
          <w:sz w:val="18"/>
          <w:szCs w:val="18"/>
        </w:rPr>
        <w:t>during Mr. Nadella’s CEO tenure: MSFT vs. S&amp;P 500</w:t>
      </w:r>
    </w:p>
    <w:p w14:paraId="66A39B54" w14:textId="77777777" w:rsidR="003A3DFA" w:rsidRDefault="003A3DFA" w:rsidP="003A3DFA">
      <w:pPr>
        <w:pStyle w:val="NormalWeb"/>
        <w:spacing w:before="0" w:beforeAutospacing="0" w:after="0" w:afterAutospacing="0"/>
        <w:jc w:val="center"/>
        <w:rPr>
          <w:rFonts w:ascii="Arial" w:hAnsi="Arial" w:cs="Arial"/>
          <w:sz w:val="18"/>
          <w:szCs w:val="18"/>
        </w:rPr>
      </w:pPr>
      <w:r>
        <w:rPr>
          <w:rFonts w:ascii="Arial" w:hAnsi="Arial" w:cs="Arial"/>
          <w:sz w:val="18"/>
          <w:szCs w:val="18"/>
        </w:rPr>
        <w:t>Feb. 4, 2014 through June 30, 2023</w:t>
      </w:r>
    </w:p>
    <w:p w14:paraId="064DC8BF" w14:textId="2D8ACF77" w:rsidR="00D246A9" w:rsidRDefault="003A3DFA" w:rsidP="003A3DFA">
      <w:pPr>
        <w:pStyle w:val="NormalWeb"/>
        <w:keepNext/>
        <w:spacing w:before="0" w:beforeAutospacing="0" w:after="0" w:afterAutospacing="0"/>
        <w:jc w:val="center"/>
        <w:rPr>
          <w:sz w:val="12"/>
          <w:szCs w:val="12"/>
        </w:rPr>
      </w:pPr>
      <w:r>
        <w:rPr>
          <w:rFonts w:ascii="Arial" w:hAnsi="Arial" w:cs="Arial"/>
          <w:sz w:val="18"/>
          <w:szCs w:val="18"/>
        </w:rPr>
        <w:t>(includes reinvestment of dividends)</w:t>
      </w:r>
    </w:p>
    <w:p w14:paraId="43B6F329" w14:textId="3C640875" w:rsidR="003A3DFA" w:rsidRDefault="003A3DFA">
      <w:pPr>
        <w:pStyle w:val="NormalWeb"/>
        <w:keepNext/>
        <w:spacing w:before="0" w:beforeAutospacing="0" w:after="0" w:afterAutospacing="0"/>
        <w:rPr>
          <w:sz w:val="12"/>
          <w:szCs w:val="12"/>
        </w:rPr>
      </w:pPr>
      <w:r>
        <w:rPr>
          <w:rFonts w:ascii="Arial" w:hAnsi="Arial" w:cs="Arial"/>
          <w:noProof/>
          <w:sz w:val="18"/>
          <w:szCs w:val="18"/>
        </w:rPr>
        <w:drawing>
          <wp:inline distT="0" distB="0" distL="0" distR="0" wp14:anchorId="64A54266" wp14:editId="674A93AB">
            <wp:extent cx="6858000" cy="2838450"/>
            <wp:effectExtent l="0" t="0" r="0" b="0"/>
            <wp:docPr id="1682859280" name="Picture 15" descr="CEO appointed on February 4th, 2014.&#10;&#10;Year 0 ending on June 30th, 2014, MSFT was 16% and S&amp;P 500 was 13%.&#10;&#10;Year 1 ending on June 30th, 2015, MSFT was 26% and S&amp;P 500 was 21%. &#10;&#10;Year 2 ending on June 30th, 2016, MSFT was 51% and S&amp;P 500 was 26%. &#10;&#10;Year 3 ending on June 30th, 2017, MSFT was 108% and S&amp;P 500 was 48%. &#10;&#10;Year 4 ending on June 30th, 2018, MSFT was 203% and S&amp;P 500 was 70%.&#10;&#10;Year 5 ending on June 30th, 2019, MSFT was 319% and S&amp;P 500 was 87%.&#10;&#10;Year 6 ending on June 30th, 2020, MSFT was 544% and S&amp;P 500 was 101%. &#10;&#10;Year 7 ending on June 30th, 2021, MSFT was 766% and S&amp;P 500 was 183%.&#10;&#10;Year 8 ending on June 30th, 2022. MSFT was 728% and S&amp;P 500 was 153%.&#10;&#10;At the end of current fiscal year on June 30th, 2023, MSFT was 1,008% and S&amp;P 500 wa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59280" name="Picture 15" descr="CEO appointed on February 4th, 2014.&#10;&#10;Year 0 ending on June 30th, 2014, MSFT was 16% and S&amp;P 500 was 13%.&#10;&#10;Year 1 ending on June 30th, 2015, MSFT was 26% and S&amp;P 500 was 21%. &#10;&#10;Year 2 ending on June 30th, 2016, MSFT was 51% and S&amp;P 500 was 26%. &#10;&#10;Year 3 ending on June 30th, 2017, MSFT was 108% and S&amp;P 500 was 48%. &#10;&#10;Year 4 ending on June 30th, 2018, MSFT was 203% and S&amp;P 500 was 70%.&#10;&#10;Year 5 ending on June 30th, 2019, MSFT was 319% and S&amp;P 500 was 87%.&#10;&#10;Year 6 ending on June 30th, 2020, MSFT was 544% and S&amp;P 500 was 101%. &#10;&#10;Year 7 ending on June 30th, 2021, MSFT was 766% and S&amp;P 500 was 183%.&#10;&#10;Year 8 ending on June 30th, 2022. MSFT was 728% and S&amp;P 500 was 153%.&#10;&#10;At the end of current fiscal year on June 30th, 2023, MSFT was 1,008% and S&amp;P 500 was 203%"/>
                    <pic:cNvPicPr/>
                  </pic:nvPicPr>
                  <pic:blipFill>
                    <a:blip r:embed="rId52">
                      <a:extLst>
                        <a:ext uri="{28A0092B-C50C-407E-A947-70E740481C1C}">
                          <a14:useLocalDpi xmlns:a14="http://schemas.microsoft.com/office/drawing/2010/main" val="0"/>
                        </a:ext>
                      </a:extLst>
                    </a:blip>
                    <a:stretch>
                      <a:fillRect/>
                    </a:stretch>
                  </pic:blipFill>
                  <pic:spPr>
                    <a:xfrm>
                      <a:off x="0" y="0"/>
                      <a:ext cx="6858000" cy="2838450"/>
                    </a:xfrm>
                    <a:prstGeom prst="rect">
                      <a:avLst/>
                    </a:prstGeom>
                  </pic:spPr>
                </pic:pic>
              </a:graphicData>
            </a:graphic>
          </wp:inline>
        </w:drawing>
      </w:r>
    </w:p>
    <w:p w14:paraId="4890C060" w14:textId="77777777" w:rsidR="00D246A9" w:rsidRPr="00306F7C" w:rsidRDefault="00D246A9" w:rsidP="006309E1">
      <w:pPr>
        <w:pStyle w:val="Heading4"/>
      </w:pPr>
      <w:r>
        <w:t xml:space="preserve">Driving Business Success </w:t>
      </w:r>
    </w:p>
    <w:p w14:paraId="7430EDCD"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When in 2014 the Board of Directors appointed Mr. Nadella as the third Chief Executive Officer in its history, Microsoft had revenues of $86.8 billion, net income of $22.1 billion, and diluted earnings per share of $2.63. Those figures have, respectively, more than doubled ($211.9 billion), more than tripled ($72.4 billion), and nearly quadrupled ($9.68) in the intervening years. In addition to another year of consistently strong financial performance, Mr. Nadella and his leadership team have positioned Microsoft to continue to drive performance for years to come. As discussed in more detail below, they have achieved this through: </w:t>
      </w:r>
    </w:p>
    <w:p w14:paraId="141FC3E4" w14:textId="77777777" w:rsidR="00D246A9" w:rsidRDefault="00D246A9">
      <w:pPr>
        <w:pStyle w:val="NormalWeb"/>
        <w:keepNext/>
        <w:spacing w:before="120" w:beforeAutospacing="0" w:after="0" w:afterAutospacing="0"/>
        <w:ind w:left="244" w:hanging="245"/>
        <w:rPr>
          <w:rFonts w:ascii="Arial" w:hAnsi="Arial" w:cs="Arial"/>
          <w:sz w:val="20"/>
          <w:szCs w:val="20"/>
        </w:rPr>
      </w:pPr>
      <w:r>
        <w:rPr>
          <w:rFonts w:ascii="Arial" w:hAnsi="Arial" w:cs="Arial"/>
          <w:sz w:val="20"/>
          <w:szCs w:val="20"/>
        </w:rPr>
        <w:t>•</w:t>
      </w:r>
      <w:r>
        <w:rPr>
          <w:rFonts w:ascii="Arial" w:hAnsi="Arial" w:cs="Arial"/>
          <w:sz w:val="20"/>
          <w:szCs w:val="20"/>
        </w:rPr>
        <w:tab/>
        <w:t xml:space="preserve">Growing and diversifying the business through leading-edge innovation </w:t>
      </w:r>
    </w:p>
    <w:p w14:paraId="21AAC364" w14:textId="77777777" w:rsidR="00D246A9" w:rsidRDefault="00D246A9">
      <w:pPr>
        <w:pStyle w:val="NormalWeb"/>
        <w:keepNext/>
        <w:spacing w:before="120" w:beforeAutospacing="0" w:after="0" w:afterAutospacing="0"/>
        <w:ind w:left="244" w:hanging="245"/>
        <w:rPr>
          <w:rFonts w:ascii="Arial" w:hAnsi="Arial" w:cs="Arial"/>
          <w:sz w:val="20"/>
          <w:szCs w:val="20"/>
        </w:rPr>
      </w:pPr>
      <w:r>
        <w:rPr>
          <w:rFonts w:ascii="Arial" w:hAnsi="Arial" w:cs="Arial"/>
          <w:sz w:val="20"/>
          <w:szCs w:val="20"/>
        </w:rPr>
        <w:t>•</w:t>
      </w:r>
      <w:r>
        <w:rPr>
          <w:rFonts w:ascii="Arial" w:hAnsi="Arial" w:cs="Arial"/>
          <w:sz w:val="20"/>
          <w:szCs w:val="20"/>
        </w:rPr>
        <w:tab/>
        <w:t xml:space="preserve">Delivering on our ambition to reinvent productivity and business processes and multiplying opportunities for customers to realize value </w:t>
      </w:r>
    </w:p>
    <w:p w14:paraId="2F16AAB2" w14:textId="77777777" w:rsidR="00D246A9" w:rsidRDefault="00D246A9">
      <w:pPr>
        <w:pStyle w:val="NormalWeb"/>
        <w:keepNext/>
        <w:spacing w:before="120" w:beforeAutospacing="0" w:after="0" w:afterAutospacing="0"/>
        <w:ind w:left="244" w:hanging="245"/>
        <w:rPr>
          <w:rFonts w:ascii="Arial" w:hAnsi="Arial" w:cs="Arial"/>
          <w:sz w:val="20"/>
          <w:szCs w:val="20"/>
        </w:rPr>
      </w:pPr>
      <w:r>
        <w:rPr>
          <w:rFonts w:ascii="Arial" w:hAnsi="Arial" w:cs="Arial"/>
          <w:sz w:val="20"/>
          <w:szCs w:val="20"/>
        </w:rPr>
        <w:t>•</w:t>
      </w:r>
      <w:r>
        <w:rPr>
          <w:rFonts w:ascii="Arial" w:hAnsi="Arial" w:cs="Arial"/>
          <w:sz w:val="20"/>
          <w:szCs w:val="20"/>
        </w:rPr>
        <w:tab/>
        <w:t xml:space="preserve">Partnering with other technology providers to remove friction and accelerate customers’ digital transformations and executing strategic acquisitions to broaden our reach </w:t>
      </w:r>
    </w:p>
    <w:p w14:paraId="139F4090" w14:textId="77777777" w:rsidR="00D246A9" w:rsidRDefault="00D246A9" w:rsidP="00212B0B">
      <w:pPr>
        <w:pStyle w:val="Heading5"/>
      </w:pPr>
      <w:r>
        <w:t xml:space="preserve">Continued Innovation and Growth </w:t>
      </w:r>
    </w:p>
    <w:p w14:paraId="5F7C9C3E" w14:textId="77777777" w:rsidR="00D246A9" w:rsidRDefault="00D246A9">
      <w:pPr>
        <w:pStyle w:val="NormalWeb"/>
        <w:spacing w:before="160" w:beforeAutospacing="0" w:after="0" w:afterAutospacing="0"/>
        <w:rPr>
          <w:rFonts w:ascii="Arial" w:hAnsi="Arial" w:cs="Arial"/>
          <w:sz w:val="18"/>
          <w:szCs w:val="18"/>
        </w:rPr>
      </w:pPr>
      <w:r>
        <w:rPr>
          <w:rFonts w:ascii="Arial" w:hAnsi="Arial" w:cs="Arial"/>
          <w:sz w:val="18"/>
          <w:szCs w:val="18"/>
        </w:rPr>
        <w:t xml:space="preserve">As we move into the era of ubiquitous computing and ambient intelligence, Microsoft is committed to its mission of empowering every person and every organization on the planet to achieve more. Along with his continued focus on evolving the Company culture, Mr. Nadella and his leadership team have animated the growth of our products and services portfolio. The artificial intelligence (“AI”) moment has arrived, and under Mr. Nadella’s leadership, Microsoft is well positioned to seize the opportunity to have a positive impact for customers and partners across the globe. AI capabilities are being infused across our products and services to drive the at-scale adoption of unprecedented AI capabilities. </w:t>
      </w:r>
    </w:p>
    <w:p w14:paraId="4A82DEC0" w14:textId="77777777" w:rsidR="00D246A9" w:rsidRDefault="00D246A9">
      <w:pPr>
        <w:pStyle w:val="NormalWeb"/>
        <w:keepNext/>
        <w:spacing w:before="0" w:beforeAutospacing="0" w:after="0" w:afterAutospacing="0"/>
        <w:rPr>
          <w:sz w:val="12"/>
          <w:szCs w:val="12"/>
        </w:rPr>
      </w:pPr>
      <w:r>
        <w:rPr>
          <w:sz w:val="12"/>
          <w:szCs w:val="12"/>
        </w:rPr>
        <w:t> </w:t>
      </w:r>
    </w:p>
    <w:p w14:paraId="19A838A1"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Below are examples that illustrate the innovative products, services, and partnerships driving momentum and growth across the Company. </w:t>
      </w:r>
    </w:p>
    <w:p w14:paraId="659139E6"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Azure</w:t>
      </w:r>
      <w:r>
        <w:rPr>
          <w:rFonts w:ascii="Arial" w:hAnsi="Arial" w:cs="Arial"/>
          <w:sz w:val="18"/>
          <w:szCs w:val="18"/>
        </w:rPr>
        <w:t xml:space="preserve">. Azure cloud computing is perhaps the most powerful example of how Microsoft’s innovation is driving growth. Azure is a natural outgrowth of Microsoft’s DNA as a platform company. It was built to unlock a vast array of infrastructure-as-a-service (“IaaS”), platform-as-a-service (“PaaS”), and software-as-a-service (“SaaS”) solutions. We have developed – and continue to create – scores of offerings that build on Azure’s capabilities and multiply its usefulness. Offerings include AI services, such as Azure OpenAI Service; Azure Arc for management; Azure Synapse and Microsoft Fabric for data storage, integration, and analytics; and Power BI to glean and access data insights from across the enterprise. </w:t>
      </w:r>
    </w:p>
    <w:p w14:paraId="0F671C5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Mr. Nadella has stated we aimed to build Azure as the “world’s computer.” We’ve built a global footprint, with 68 operating regions in 24 countries. Microsoft Cloud revenue, which includes other cloud offerings such as Office 365 Commercial and Dynamics 365, exceeded $110 billion, with Azure accounting for more than 50% of the total. </w:t>
      </w:r>
    </w:p>
    <w:p w14:paraId="01B75C7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Security</w:t>
      </w:r>
      <w:r>
        <w:rPr>
          <w:rFonts w:ascii="Arial" w:hAnsi="Arial" w:cs="Arial"/>
          <w:sz w:val="18"/>
          <w:szCs w:val="18"/>
        </w:rPr>
        <w:t xml:space="preserve">. Our security business has grown significantly through innovation and quickly recognizing market opportunities. We serve as a comprehensive security vendor for customers’ entire range of interoperating products from Microsoft and other companies. With over one million customers, our security business surpassed $20 billion of annual revenue. We continue to drive innovations, including </w:t>
      </w:r>
      <w:r>
        <w:rPr>
          <w:rFonts w:ascii="Arial" w:hAnsi="Arial" w:cs="Arial"/>
          <w:sz w:val="18"/>
          <w:szCs w:val="18"/>
        </w:rPr>
        <w:lastRenderedPageBreak/>
        <w:t xml:space="preserve">through Security Copilot, an AI-powered security analysis tool that combines an advanced large language model with a security-specific model informed by our 65 trillion daily signals. We are committed to further improvement, including through our plan announced in fiscal year 2022 to invest $20 billion over five years to advance our security solutions and protect customers. </w:t>
      </w:r>
    </w:p>
    <w:p w14:paraId="7263552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Microsoft 365</w:t>
      </w:r>
      <w:r>
        <w:rPr>
          <w:rFonts w:ascii="Arial" w:hAnsi="Arial" w:cs="Arial"/>
          <w:sz w:val="18"/>
          <w:szCs w:val="18"/>
        </w:rPr>
        <w:t xml:space="preserve">. Our Microsoft 365 solutions continue to empower employees in organizations of all sizes as we bring together the best of Office 365, Windows, and advanced cybersecurity to deliver complete cloud-based experiences tailored to the needs of our users. Commercial paid seats of Office 365 have grown to more than 382 million as customers opt for greater productivity in conjunction with a more secure experience. We are bringing those same benefits to nearly 75 million consumers who have subscribed to Microsoft 365. AI will further enhance our ability to help make customers more productive. We have announced that our Microsoft 365 Copilot offering, which brings together next-generation AI with business data in the Microsoft Graph, all within the applications that millions of people use every day, will be generally available to customers on November 1, 2023. </w:t>
      </w:r>
    </w:p>
    <w:p w14:paraId="67C60EF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Power Platform</w:t>
      </w:r>
      <w:r>
        <w:rPr>
          <w:rFonts w:ascii="Arial" w:hAnsi="Arial" w:cs="Arial"/>
          <w:sz w:val="18"/>
          <w:szCs w:val="18"/>
        </w:rPr>
        <w:t xml:space="preserve">. Power Platform is making it even easier for teams of professional and citizen developers to build end-to-end business solutions together. With over 33 million monthly active users, Power Platform comprises an end-to-end suite of tools to automate workflows, create apps, build virtual agents, and analyze data. Because non-IT professionals can learn and use Power Platform, subject matter experts who are closest to the workflow can use low-code or no-code tools to improve business processes. Our recently announced Copilot for Power Platform will further enable no-code development. More than 126,000 organizations have experienced Copilot in Power Platform. </w:t>
      </w:r>
    </w:p>
    <w:p w14:paraId="3439C04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GitHub</w:t>
      </w:r>
      <w:r>
        <w:rPr>
          <w:rFonts w:ascii="Arial" w:hAnsi="Arial" w:cs="Arial"/>
          <w:sz w:val="18"/>
          <w:szCs w:val="18"/>
        </w:rPr>
        <w:t xml:space="preserve">. GitHub is a source of dynamic innovation and a key element of Microsoft’s position as the premier developer platform. GitHub Copilot is a first-of-its-kind AI-based programmer that helps developers write better code faster. When enabled, GitHub Copilot writes up to 46% of the code, greatly increasing developer productivity. Over one million people have used GitHub Copilot and over 27,000 organizations utilize GitHub Copilot for Business. GitHub expanded features to transform it from simply a source code management platform to an entire suite for development, security, and operations, with features such as continuous integration/continuous delivery and package management in our Codespaces service. GitHub Advanced Security allows developers to scan code for vulnerabilities, secrets, tokens, and other issues that can compromise secure code, and ensure all dependencies and open-source components are up to date. </w:t>
      </w:r>
    </w:p>
    <w:p w14:paraId="26921865" w14:textId="77777777" w:rsidR="00D246A9" w:rsidRDefault="00D246A9" w:rsidP="00212B0B">
      <w:pPr>
        <w:pStyle w:val="Heading5"/>
      </w:pPr>
      <w:r>
        <w:t xml:space="preserve">Reinventing Productivity </w:t>
      </w:r>
    </w:p>
    <w:p w14:paraId="4DBEA1C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is continually building connections between our products and services in ways that create powerful new levels of utility. </w:t>
      </w:r>
    </w:p>
    <w:p w14:paraId="2551F76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Microsoft Teams</w:t>
      </w:r>
      <w:r>
        <w:rPr>
          <w:rFonts w:ascii="Arial" w:hAnsi="Arial" w:cs="Arial"/>
          <w:sz w:val="18"/>
          <w:szCs w:val="18"/>
        </w:rPr>
        <w:t xml:space="preserve">. Microsoft Teams, our premier communication and collaboration application which surpassed 300 million monthly active users, is one example of how we develop these synergies. Teams itself has also become a first-class platform for application development, as the number of third-party apps with more than 10,000 users increased nearly 40 percent year-over-year. Teams Premium, which meets enterprise demand for advanced features like end-to-end encryption and AI-powered intelligent recaps, surpassed 600,000 seats within five months of being released. </w:t>
      </w:r>
    </w:p>
    <w:p w14:paraId="548D4AF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Intelligent data</w:t>
      </w:r>
      <w:r>
        <w:rPr>
          <w:rFonts w:ascii="Arial" w:hAnsi="Arial" w:cs="Arial"/>
          <w:sz w:val="18"/>
          <w:szCs w:val="18"/>
        </w:rPr>
        <w:t xml:space="preserve">. A foundational element of the Microsoft Cloud is data storage and management. That is, however, only a first step toward the comprehensive digital transformation companies need to remain competitive. We designed our Intelligent Data Platform to unlock productivity, value, and insights from an enterprise’s data estate. In 2023, we introduced Microsoft Fabric, which enables the unification of data and analytics tools in one environment, establishing a single source of truth, integrated with Power BI and designed for the utilization of AI tools and integrations. Our analytics and machine learning tools drive productivity gains by transforming unstructured data into actionable information that supports operational reliability, effective supply chain management, and rapid product innovation. </w:t>
      </w:r>
    </w:p>
    <w:p w14:paraId="4B82AF9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Industry clouds</w:t>
      </w:r>
      <w:r>
        <w:rPr>
          <w:rFonts w:ascii="Arial" w:hAnsi="Arial" w:cs="Arial"/>
          <w:sz w:val="18"/>
          <w:szCs w:val="18"/>
        </w:rPr>
        <w:t xml:space="preserve">. We recognize different industries have particular business requirements. Our industry clouds bring together capabilities across the entire Microsoft Cloud, along with industry-specific customizations, to improve time to value, increase agility, and lower costs. Our Clouds for Healthcare, Financial Services, Manufacturing, and Retail leverage customized combinations of products and services to overcome business challenges specific to each of those verticals. From data governance and AI to metaverse applications, our industry clouds help companies solve common challenges and allocate resources to their highest value and most differentiating activities. </w:t>
      </w:r>
    </w:p>
    <w:p w14:paraId="6F96177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Because sustainability is an existential priority for our society and for every business today, we offer a Cloud for Sustainability to help any organization track its carbon, water, and waste footprint to help meet its sustainability goals. Our Cloud for Nonprofit helps charitable organizations unlock the power of their data to achieve more transformative impact. </w:t>
      </w:r>
    </w:p>
    <w:p w14:paraId="6C0FA04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Advertising.</w:t>
      </w:r>
      <w:r>
        <w:rPr>
          <w:rFonts w:ascii="Arial" w:hAnsi="Arial" w:cs="Arial"/>
          <w:sz w:val="18"/>
          <w:szCs w:val="18"/>
        </w:rPr>
        <w:t xml:space="preserve"> Our advertising business continues to grow through differentiated offerings across our online properties and through strategic acquisitions. Our global reach and product breadth allows us to serve the needs of digital advertisers across both business-to-consumer advertising with Bing search engine and business-to-business advertising with LinkedIn Marketing Solutions. With the introduction of the new Bing in 2023, we are bringing the power of AI directly into the search experience, driving increased relevance for users and creating new monetization opportunities for marketers and publishers on the web. </w:t>
      </w:r>
    </w:p>
    <w:p w14:paraId="2E8582EA" w14:textId="77777777" w:rsidR="00D246A9" w:rsidRDefault="00D246A9" w:rsidP="00212B0B">
      <w:pPr>
        <w:pStyle w:val="Heading5"/>
      </w:pPr>
      <w:r>
        <w:t xml:space="preserve">Partnering and Integrating </w:t>
      </w:r>
    </w:p>
    <w:p w14:paraId="52FC15D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partner with many of the leading enterprise technology companies to empower customers and grow market opportunities together. In July of 2023, we announced support of Meta’s large language models on Azure and Windows. We have partnered with both Databricks and Snowflake to provide our customers with the broadest array of data and analytics solutions. We have developed a service with Oracle to accelerate adoption of Oracle workloads on Azure, making Microsoft the only public cloud with simplified direct access to Oracle databases running on Oracle Cloud. Through our collaboration with SAP, we’ve built a pathway for customers to migrate their SAP workloads to the cloud to take advantage of lower costs, increased agility, and reduced risk. Through the Azure VMware Solution, we have enabled enterprises to seamlessly move VMware-based workloads from their datacenters to Azure and integrate their VMware environments with Azure. In our rapidly growing security business, we have over 15,000 partners in our ecosystem working with us to bring better solutions and more choices to market. Now, instead of one conversation on productivity, </w:t>
      </w:r>
      <w:r>
        <w:rPr>
          <w:rFonts w:ascii="Arial" w:hAnsi="Arial" w:cs="Arial"/>
          <w:sz w:val="18"/>
          <w:szCs w:val="18"/>
        </w:rPr>
        <w:lastRenderedPageBreak/>
        <w:t xml:space="preserve">another on infrastructure, and yet another on business applications, our customer conversation can revolve around how all these products more seamlessly merge, whether it’s our software alone, or a combination of ours and partner solutions. </w:t>
      </w:r>
    </w:p>
    <w:p w14:paraId="2BDF845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Mr. Nadella has been bold and visionary in finding strategic acquisitions that build on and enhance our core offerings. LinkedIn, with its services that help both employers and workers network, grow professionally, and find one another, has shown consistent and strong growth since we acquired it in 2016. LinkedIn revenue grew to $15 billion in fiscal year 2023. Similarly, GitHub has continued to strengthen its position as the preferred platform for developers since its acquisition in 2018 and is used by over 100 million developers and 76% of the Fortune 500. </w:t>
      </w:r>
    </w:p>
    <w:p w14:paraId="38E5F61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acquisition of Activision Blizzard as an investment will make it easier for people to play great games wherever, whenever, and however they want. We expect the transaction will increase innovation in content creation and reduce constraints on distribution. It also significantly expands our presence in mobile, the largest segment in the gaming business. </w:t>
      </w:r>
    </w:p>
    <w:p w14:paraId="691FD34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These examples of innovation, synergy, and partnership are far from exhaustive. They provide a view, however, into the diverse and innovative set of technologies and products Microsoft has built under Mr. Nadella’s leadership. It is a multi-faceted engine of growth that provides more avenues for continued success. The uses for Microsoft’s technology toolbox are as </w:t>
      </w:r>
      <w:proofErr w:type="gramStart"/>
      <w:r>
        <w:rPr>
          <w:rFonts w:ascii="Arial" w:hAnsi="Arial" w:cs="Arial"/>
          <w:sz w:val="18"/>
          <w:szCs w:val="18"/>
        </w:rPr>
        <w:t>expansive</w:t>
      </w:r>
      <w:proofErr w:type="gramEnd"/>
      <w:r>
        <w:rPr>
          <w:rFonts w:ascii="Arial" w:hAnsi="Arial" w:cs="Arial"/>
          <w:sz w:val="18"/>
          <w:szCs w:val="18"/>
        </w:rPr>
        <w:t xml:space="preserve"> as our customers’ imaginations. Mr. Nadella has quite intentionally conditioned Microsoft’s success on that of our customers – while providing the platform and technologies on which our customers will achieve it. This is a durable strategy that can thrive through economic cycles, business disruptions, and the ever-increasing pace of change that characterizes the current global marketplace, precisely because Microsoft enables companies and individuals to successfully address those very challenges. </w:t>
      </w:r>
    </w:p>
    <w:p w14:paraId="04F97110" w14:textId="77777777" w:rsidR="00D246A9" w:rsidRDefault="00D246A9" w:rsidP="006309E1">
      <w:pPr>
        <w:pStyle w:val="Heading4"/>
      </w:pPr>
      <w:r>
        <w:t xml:space="preserve">Environmental and Social Leadership </w:t>
      </w:r>
    </w:p>
    <w:p w14:paraId="7073289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At Microsoft, we focus on four enduring commitments that are central to meeting our mission and that become even more important in the era of AI: to expand opportunity, earn trust, protect fundamental rights, and advance sustainability. As we described in Part 1 –Governance and our Board of Directors, we believe Microsoft’s public and strategic environmental and social commitments play an important role in fostering Microsoft’s long-term success and value creation for our shareholders. We provide extensive public reporting on our environmental and social performance and progress towards our commitments at </w:t>
      </w:r>
      <w:r>
        <w:rPr>
          <w:rFonts w:ascii="Arial" w:hAnsi="Arial" w:cs="Arial"/>
          <w:sz w:val="18"/>
          <w:szCs w:val="18"/>
          <w:u w:val="single"/>
        </w:rPr>
        <w:t>microsoft.com/transparency</w:t>
      </w:r>
      <w:r>
        <w:rPr>
          <w:rFonts w:ascii="Arial" w:hAnsi="Arial" w:cs="Arial"/>
          <w:sz w:val="18"/>
          <w:szCs w:val="18"/>
        </w:rPr>
        <w:t xml:space="preserve">. </w:t>
      </w:r>
    </w:p>
    <w:p w14:paraId="0CE9D28D"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Among just a few of this year’s highlights: </w:t>
      </w:r>
    </w:p>
    <w:p w14:paraId="013F11AA" w14:textId="77777777" w:rsidR="00D246A9" w:rsidRDefault="00D246A9" w:rsidP="003A3DFA">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Microsoft continues to advance our Responsible AI principles into practice across the Company to develop and deploy AI that will have a positive impact on society. We take a cross-company approach through cutting-edge research, best-of-breed engineering systems, and excellence in policy and governance. Microsoft also launched a five-point blueprint to advance AI responsibly through laws, policies, regulations, and industry obligations </w:t>
      </w:r>
    </w:p>
    <w:p w14:paraId="6B956133" w14:textId="77777777" w:rsidR="00D246A9" w:rsidRDefault="00D246A9" w:rsidP="003A3DFA">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Microsoft’s five-year, $20 billion commitment to advance our security solutions includes $150 million to help U.S. government agencies upgrade cybersecurity protections. We also enhanced our global skilling initiative with new commitments to help the U.S. and 27 other countries with substantial cybersecurity workforce shortages to grow their number of skilled candidates and increase diversity in the cybersecurity field </w:t>
      </w:r>
    </w:p>
    <w:p w14:paraId="5CBED571" w14:textId="77777777" w:rsidR="00D246A9" w:rsidRDefault="00D246A9" w:rsidP="003A3DFA">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The Company continues transparently tracking and reporting annually on our progress towards our sustainability commitments, sharing our progress, challenges, and learnings as we pursue our commitments to become carbon negative, water positive, zero waste, and to build a Planetary Computer. In fiscal year 2023, we reported that in fiscal year 2022, our business grew by 18 percent and our overall emissions declined by 0.5 percent </w:t>
      </w:r>
    </w:p>
    <w:p w14:paraId="200F356E" w14:textId="77777777" w:rsidR="00D246A9" w:rsidRDefault="00D246A9" w:rsidP="003A3DFA">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Microsoft is a strong advocate for privacy protection around the globe and offers both our commercial and individual customers tools to help protect and manage their data. We enable our individual customers around the globe to exercise their core data protection rights through our privacy dashboard, where 3.2 million people each month control their data and make meaningful choices about how their data is used </w:t>
      </w:r>
    </w:p>
    <w:p w14:paraId="02818D96" w14:textId="77777777" w:rsidR="00D246A9" w:rsidRDefault="00D246A9" w:rsidP="003A3DFA">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While much more work remains, we made progress increasing diverse representation and inclusion at Microsoft and invested in our employees to advance our culture and environments where people can do their best work. In fiscal year 2023, Microsoft reported diversity data showing that we are a more diverse Microsoft overall today than we have ever been, with the highest year-over-year representation progress of the past five-year period for many </w:t>
      </w:r>
      <w:proofErr w:type="gramStart"/>
      <w:r>
        <w:rPr>
          <w:rFonts w:ascii="Arial" w:hAnsi="Arial" w:cs="Arial"/>
          <w:sz w:val="18"/>
          <w:szCs w:val="18"/>
        </w:rPr>
        <w:t>employee</w:t>
      </w:r>
      <w:proofErr w:type="gramEnd"/>
      <w:r>
        <w:rPr>
          <w:rFonts w:ascii="Arial" w:hAnsi="Arial" w:cs="Arial"/>
          <w:sz w:val="18"/>
          <w:szCs w:val="18"/>
        </w:rPr>
        <w:t xml:space="preserve"> communities</w:t>
      </w:r>
    </w:p>
    <w:p w14:paraId="3F21780D" w14:textId="77777777" w:rsidR="00D246A9" w:rsidRDefault="00D246A9" w:rsidP="003A3DFA">
      <w:pPr>
        <w:pStyle w:val="rrdsinglerule"/>
        <w:pBdr>
          <w:top w:val="single" w:sz="6" w:space="0" w:color="0075C9"/>
        </w:pBdr>
        <w:spacing w:before="80"/>
        <w:rPr>
          <w:sz w:val="24"/>
          <w:szCs w:val="24"/>
        </w:rPr>
      </w:pPr>
      <w:r>
        <w:t xml:space="preserve">  </w:t>
      </w:r>
    </w:p>
    <w:p w14:paraId="02076C49" w14:textId="77777777" w:rsidR="00D246A9" w:rsidRDefault="00D246A9" w:rsidP="00B4165A">
      <w:pPr>
        <w:pStyle w:val="Heading3"/>
      </w:pPr>
      <w:bookmarkStart w:id="10" w:name="toc356108_11"/>
      <w:bookmarkEnd w:id="10"/>
      <w:r>
        <w:t xml:space="preserve">Section 2 – Executive Compensation Program </w:t>
      </w:r>
    </w:p>
    <w:p w14:paraId="71D1E3AA" w14:textId="77777777" w:rsidR="00D246A9" w:rsidRDefault="00D246A9" w:rsidP="006309E1">
      <w:pPr>
        <w:pStyle w:val="Heading4"/>
      </w:pPr>
      <w:r>
        <w:t xml:space="preserve">Executive Compensation Philosophy </w:t>
      </w:r>
    </w:p>
    <w:p w14:paraId="1C17E4FA"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We design our executive compensation program to attract, motivate, and retain the key executives who drive our success and industry leadership while considering individual and Company performance and alignment with the long-term interests of our shareholders. We achieve our objectives through a compensation program that: </w:t>
      </w:r>
    </w:p>
    <w:p w14:paraId="5BB80ABC" w14:textId="77777777" w:rsidR="00D246A9" w:rsidRDefault="00D246A9" w:rsidP="003A3DFA">
      <w:pPr>
        <w:pStyle w:val="NormalWeb"/>
        <w:spacing w:before="8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Provides a competitive total pay opportunity that </w:t>
      </w:r>
      <w:proofErr w:type="gramStart"/>
      <w:r>
        <w:rPr>
          <w:rFonts w:ascii="Arial" w:hAnsi="Arial" w:cs="Arial"/>
          <w:sz w:val="18"/>
          <w:szCs w:val="18"/>
        </w:rPr>
        <w:t>takes into account</w:t>
      </w:r>
      <w:proofErr w:type="gramEnd"/>
      <w:r>
        <w:rPr>
          <w:rFonts w:ascii="Arial" w:hAnsi="Arial" w:cs="Arial"/>
          <w:sz w:val="18"/>
          <w:szCs w:val="18"/>
        </w:rPr>
        <w:t xml:space="preserve"> our relative scale and performance </w:t>
      </w:r>
    </w:p>
    <w:p w14:paraId="3E80A5D0" w14:textId="77777777" w:rsidR="00D246A9" w:rsidRDefault="00D246A9" w:rsidP="003A3DFA">
      <w:pPr>
        <w:pStyle w:val="NormalWeb"/>
        <w:spacing w:before="8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Delivers a majority of our executives’ pay through performance-based incentives </w:t>
      </w:r>
    </w:p>
    <w:p w14:paraId="6865FC65" w14:textId="77777777" w:rsidR="00D246A9" w:rsidRDefault="00D246A9" w:rsidP="003A3DFA">
      <w:pPr>
        <w:pStyle w:val="NormalWeb"/>
        <w:spacing w:before="8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Provides strong alignment with our shareholders, with 83% of the annual target compensation opportunity for our CEO and 80% of the annual target compensation opportunity for our NEOs (on average) delivered in the form of equity awards </w:t>
      </w:r>
    </w:p>
    <w:p w14:paraId="2B9094BF" w14:textId="77777777" w:rsidR="00D246A9" w:rsidRDefault="00D246A9" w:rsidP="003A3DFA">
      <w:pPr>
        <w:pStyle w:val="NormalWeb"/>
        <w:spacing w:before="8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Focuses on the long-term through equity awards with multi-year vesting or performance requirements </w:t>
      </w:r>
    </w:p>
    <w:p w14:paraId="7B6993D4" w14:textId="0555BFBA" w:rsidR="00D246A9" w:rsidRPr="00212B0B" w:rsidRDefault="00D246A9" w:rsidP="003A3DFA">
      <w:pPr>
        <w:pStyle w:val="NormalWeb"/>
        <w:spacing w:before="8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Does not encourage unnecessary and excessive risk-taking, assisted by our stock ownership policy and executive compensation recovery (“clawback”) policy </w:t>
      </w:r>
    </w:p>
    <w:p w14:paraId="1C59374F" w14:textId="77777777" w:rsidR="00D246A9" w:rsidRDefault="00D246A9" w:rsidP="00212B0B">
      <w:pPr>
        <w:pStyle w:val="Heading5"/>
      </w:pPr>
      <w:r>
        <w:lastRenderedPageBreak/>
        <w:t xml:space="preserve">Compensation Best Practices </w:t>
      </w:r>
    </w:p>
    <w:p w14:paraId="25AB9EF4" w14:textId="77777777" w:rsidR="00D246A9" w:rsidRDefault="00D246A9">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600" w:firstRow="0" w:lastRow="0" w:firstColumn="0" w:lastColumn="0" w:noHBand="1" w:noVBand="1"/>
      </w:tblPr>
      <w:tblGrid>
        <w:gridCol w:w="5400"/>
        <w:gridCol w:w="5400"/>
      </w:tblGrid>
      <w:tr w:rsidR="00D246A9" w14:paraId="53C4280C" w14:textId="77777777" w:rsidTr="00E92416">
        <w:trPr>
          <w:cantSplit/>
          <w:jc w:val="center"/>
        </w:trPr>
        <w:tc>
          <w:tcPr>
            <w:tcW w:w="5400" w:type="dxa"/>
            <w:hideMark/>
          </w:tcPr>
          <w:p w14:paraId="40328A5F" w14:textId="77777777" w:rsidR="00D246A9" w:rsidRPr="00306F7C" w:rsidRDefault="00D246A9">
            <w:pPr>
              <w:pStyle w:val="NormalWeb"/>
              <w:spacing w:before="0" w:beforeAutospacing="0" w:after="0" w:afterAutospacing="0"/>
              <w:jc w:val="center"/>
              <w:rPr>
                <w:rFonts w:ascii="Arial" w:hAnsi="Arial" w:cs="Arial"/>
                <w:sz w:val="18"/>
                <w:szCs w:val="18"/>
              </w:rPr>
            </w:pPr>
            <w:r>
              <w:rPr>
                <w:rFonts w:ascii="Arial" w:hAnsi="Arial" w:cs="Arial"/>
                <w:b/>
                <w:bCs/>
                <w:sz w:val="18"/>
                <w:szCs w:val="18"/>
              </w:rPr>
              <w:t>What We Do</w:t>
            </w:r>
          </w:p>
          <w:p w14:paraId="6DF3337A"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5400" w:type="dxa"/>
            <w:hideMark/>
          </w:tcPr>
          <w:p w14:paraId="260ACEC6" w14:textId="77777777" w:rsidR="00D246A9" w:rsidRDefault="00D246A9">
            <w:pPr>
              <w:pStyle w:val="NormalWeb"/>
              <w:spacing w:before="0" w:beforeAutospacing="0" w:after="0" w:afterAutospacing="0"/>
              <w:jc w:val="center"/>
              <w:rPr>
                <w:rFonts w:ascii="Arial" w:hAnsi="Arial" w:cs="Arial"/>
                <w:sz w:val="18"/>
                <w:szCs w:val="18"/>
              </w:rPr>
            </w:pPr>
            <w:r>
              <w:rPr>
                <w:rFonts w:ascii="Arial" w:hAnsi="Arial" w:cs="Arial"/>
                <w:b/>
                <w:bCs/>
                <w:sz w:val="18"/>
                <w:szCs w:val="18"/>
              </w:rPr>
              <w:t>What We Don’t Do</w:t>
            </w:r>
          </w:p>
          <w:p w14:paraId="07AB5AB9"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246A9" w14:paraId="208FDEB3" w14:textId="77777777" w:rsidTr="00E92416">
        <w:trPr>
          <w:cantSplit/>
          <w:jc w:val="center"/>
        </w:trPr>
        <w:tc>
          <w:tcPr>
            <w:tcW w:w="5400" w:type="dxa"/>
            <w:hideMark/>
          </w:tcPr>
          <w:p w14:paraId="27414115"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Maintain a stock ownership policy that reinforces the alignment of executive officer and shareholder interests (including requiring stock ownership of 15x base salary for the CEO)</w:t>
            </w:r>
          </w:p>
          <w:p w14:paraId="0D6A8B9D"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B7AB65D"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Have a strong executive compensation recovery (“clawback”) policy to ensure accountability</w:t>
            </w:r>
          </w:p>
          <w:p w14:paraId="3DB2EDB2"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4558C5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Promote long-term focus through multi-year vesting and performance requirements</w:t>
            </w:r>
          </w:p>
          <w:p w14:paraId="30F50AA5"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3A62226"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Prohibit pledging, hedging, and trading in derivatives of Microsoft securities</w:t>
            </w:r>
          </w:p>
          <w:p w14:paraId="5778ED36"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5310F8D"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Retain an independent compensation consultant</w:t>
            </w:r>
          </w:p>
          <w:p w14:paraId="562E7361"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F0D444D"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Solicit investor feedback on our compensation program and potential enhancements through an extensive shareholder engagement program</w:t>
            </w:r>
          </w:p>
          <w:p w14:paraId="4B0225AC"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C6C205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Annual assessment of compensation-related risks</w:t>
            </w:r>
          </w:p>
          <w:p w14:paraId="4B2054F5"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3268282D"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Settle all long-term incentives in Microsoft stock</w:t>
            </w:r>
          </w:p>
        </w:tc>
        <w:tc>
          <w:tcPr>
            <w:tcW w:w="5400" w:type="dxa"/>
            <w:hideMark/>
          </w:tcPr>
          <w:p w14:paraId="60DA12C6"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excessive perquisites (e.g., no executive-only club memberships or medical benefits), and no tax gross-ups</w:t>
            </w:r>
          </w:p>
          <w:p w14:paraId="290F1A43"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36F3822"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employment agreements</w:t>
            </w:r>
          </w:p>
          <w:p w14:paraId="1CC9483F"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0E54ED5"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change in control payments or benefits</w:t>
            </w:r>
          </w:p>
          <w:p w14:paraId="280E3931"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4B4D15C"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executive-only retirement programs</w:t>
            </w:r>
          </w:p>
          <w:p w14:paraId="67D097FA"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8633EB1"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guaranteed bonuses</w:t>
            </w:r>
          </w:p>
          <w:p w14:paraId="2268E338"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CE1A9CC"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dividends paid on unvested stock awards</w:t>
            </w:r>
          </w:p>
          <w:p w14:paraId="683BB167"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511A265"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encouragement of unnecessary and excessive risk taking</w:t>
            </w:r>
          </w:p>
        </w:tc>
      </w:tr>
    </w:tbl>
    <w:p w14:paraId="57F9587D" w14:textId="77777777" w:rsidR="006309E1" w:rsidRDefault="006309E1" w:rsidP="006309E1">
      <w:pPr>
        <w:pStyle w:val="Heading4"/>
      </w:pPr>
    </w:p>
    <w:p w14:paraId="7A11D7E3" w14:textId="77777777" w:rsidR="006309E1" w:rsidRDefault="006309E1">
      <w:pPr>
        <w:rPr>
          <w:rFonts w:ascii="Arial" w:hAnsi="Arial" w:cs="Arial"/>
          <w:b/>
          <w:bCs/>
          <w:szCs w:val="24"/>
        </w:rPr>
      </w:pPr>
      <w:r>
        <w:br w:type="page"/>
      </w:r>
    </w:p>
    <w:p w14:paraId="4A5F42FB" w14:textId="67C566AB" w:rsidR="00D246A9" w:rsidRPr="00306F7C" w:rsidRDefault="00D246A9" w:rsidP="006309E1">
      <w:pPr>
        <w:pStyle w:val="Heading4"/>
      </w:pPr>
      <w:r>
        <w:lastRenderedPageBreak/>
        <w:t xml:space="preserve">Shareholder Engagement </w:t>
      </w:r>
    </w:p>
    <w:p w14:paraId="47D3CD93" w14:textId="35F38368" w:rsidR="00D246A9" w:rsidRPr="00306F7C"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r>
        <w:rPr>
          <w:rFonts w:ascii="Arial" w:hAnsi="Arial" w:cs="Arial"/>
          <w:sz w:val="12"/>
          <w:szCs w:val="12"/>
        </w:rPr>
        <w:t xml:space="preserve"> </w:t>
      </w:r>
    </w:p>
    <w:p w14:paraId="2382499C" w14:textId="1B00ABDA" w:rsidR="00D246A9" w:rsidRDefault="00E92416">
      <w:pPr>
        <w:pStyle w:val="NormalWeb"/>
        <w:spacing w:before="0" w:beforeAutospacing="0" w:after="0" w:afterAutospacing="0"/>
        <w:ind w:right="122"/>
        <w:rPr>
          <w:rFonts w:ascii="Arial" w:hAnsi="Arial" w:cs="Arial"/>
          <w:sz w:val="18"/>
          <w:szCs w:val="18"/>
        </w:rPr>
      </w:pPr>
      <w:r>
        <w:rPr>
          <w:rFonts w:ascii="Arial" w:hAnsi="Arial" w:cs="Arial"/>
          <w:noProof/>
          <w:sz w:val="12"/>
          <w:szCs w:val="12"/>
        </w:rPr>
        <w:drawing>
          <wp:anchor distT="0" distB="0" distL="114300" distR="114300" simplePos="0" relativeHeight="251671551" behindDoc="1" locked="0" layoutInCell="1" allowOverlap="1" wp14:anchorId="536D0CF6" wp14:editId="43E93A76">
            <wp:simplePos x="0" y="0"/>
            <wp:positionH relativeFrom="column">
              <wp:posOffset>4457065</wp:posOffset>
            </wp:positionH>
            <wp:positionV relativeFrom="paragraph">
              <wp:posOffset>37221</wp:posOffset>
            </wp:positionV>
            <wp:extent cx="2270760" cy="1916430"/>
            <wp:effectExtent l="0" t="0" r="0" b="7620"/>
            <wp:wrapTight wrapText="bothSides">
              <wp:wrapPolygon edited="0">
                <wp:start x="0" y="0"/>
                <wp:lineTo x="0" y="21471"/>
                <wp:lineTo x="21383" y="21471"/>
                <wp:lineTo x="21383" y="0"/>
                <wp:lineTo x="0" y="0"/>
              </wp:wrapPolygon>
            </wp:wrapTight>
            <wp:docPr id="72276669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66690" name="Picture 14">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270760" cy="1916430"/>
                    </a:xfrm>
                    <a:prstGeom prst="rect">
                      <a:avLst/>
                    </a:prstGeom>
                  </pic:spPr>
                </pic:pic>
              </a:graphicData>
            </a:graphic>
            <wp14:sizeRelH relativeFrom="page">
              <wp14:pctWidth>0</wp14:pctWidth>
            </wp14:sizeRelH>
            <wp14:sizeRelV relativeFrom="page">
              <wp14:pctHeight>0</wp14:pctHeight>
            </wp14:sizeRelV>
          </wp:anchor>
        </w:drawing>
      </w:r>
      <w:r w:rsidR="00D246A9">
        <w:rPr>
          <w:rFonts w:ascii="Arial" w:hAnsi="Arial" w:cs="Arial"/>
          <w:sz w:val="18"/>
          <w:szCs w:val="18"/>
        </w:rPr>
        <w:t xml:space="preserve">Our executive compensation program is grounded in a compensation philosophy aimed at achieving strong alignment between our long-term strategic goals and our shareholders’ interests. Feedback received from our shareholders through ongoing engagement discussions informs our Compensation Committee’s deliberations as it reviews the incentive structures in place on an ongoing basis. </w:t>
      </w:r>
    </w:p>
    <w:p w14:paraId="584EAAE8" w14:textId="77777777" w:rsidR="00D246A9" w:rsidRDefault="00D246A9">
      <w:pPr>
        <w:pStyle w:val="NormalWeb"/>
        <w:spacing w:before="120" w:beforeAutospacing="0" w:after="0" w:afterAutospacing="0"/>
        <w:ind w:right="122"/>
        <w:rPr>
          <w:rFonts w:ascii="Arial" w:hAnsi="Arial" w:cs="Arial"/>
          <w:sz w:val="18"/>
          <w:szCs w:val="18"/>
        </w:rPr>
      </w:pPr>
      <w:r>
        <w:rPr>
          <w:rFonts w:ascii="Arial" w:hAnsi="Arial" w:cs="Arial"/>
          <w:sz w:val="18"/>
          <w:szCs w:val="18"/>
        </w:rPr>
        <w:t xml:space="preserve">Our Board and our Compensation Committee deeply value the continued interest of and feedback from our shareholders on our executive compensation program and are committed to maintaining an active dialogue with them to ensure their perspectives are thoughtfully </w:t>
      </w:r>
      <w:proofErr w:type="gramStart"/>
      <w:r>
        <w:rPr>
          <w:rFonts w:ascii="Arial" w:hAnsi="Arial" w:cs="Arial"/>
          <w:sz w:val="18"/>
          <w:szCs w:val="18"/>
        </w:rPr>
        <w:t>taken into account</w:t>
      </w:r>
      <w:proofErr w:type="gramEnd"/>
      <w:r>
        <w:rPr>
          <w:rFonts w:ascii="Arial" w:hAnsi="Arial" w:cs="Arial"/>
          <w:sz w:val="18"/>
          <w:szCs w:val="18"/>
        </w:rPr>
        <w:t xml:space="preserve">. </w:t>
      </w:r>
    </w:p>
    <w:p w14:paraId="5CFF59D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carefully consider both the level of voting support from our shareholders on our say-on-pay vote, as well as comments from shareholders, when evaluating our executive compensation program. At the 2022 Annual Meeting, over 88% of the votes cast supported our advisory resolution on the compensation of our Named Executives (“say-on-pay” vote). </w:t>
      </w:r>
    </w:p>
    <w:p w14:paraId="4B25E1C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As in prior years, in fiscal year 2023 we continued our active shareholder engagement program, discussing compensation and a broad range of ESG issues with shareholders representing approximately 50% of our outstanding shares, including participation by our Compensation Committee Chair and Lead Independent Director. The Compensation Committee Chair and Lead Independent Director joined a set of these calls with investors holding over 20% of outstanding shares to discuss a range of governance topics including the Board’s long-term approach to executive compensation. </w:t>
      </w:r>
    </w:p>
    <w:p w14:paraId="0754296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evaluating our compensation practices in fiscal 2023, our Compensation Committee was mindful of the support our shareholders expressed for our philosophy and practice of linking executive compensation to operational objectives and shareholder value creation, and did not make any substantial changes to our executive compensation program. </w:t>
      </w:r>
    </w:p>
    <w:p w14:paraId="42C5032C" w14:textId="77777777" w:rsidR="00D246A9" w:rsidRDefault="00D246A9">
      <w:pPr>
        <w:pStyle w:val="NormalWeb"/>
        <w:spacing w:before="360" w:beforeAutospacing="0" w:after="0" w:afterAutospacing="0"/>
        <w:rPr>
          <w:sz w:val="2"/>
          <w:szCs w:val="2"/>
        </w:rPr>
      </w:pPr>
      <w:r>
        <w:rPr>
          <w:sz w:val="2"/>
          <w:szCs w:val="2"/>
        </w:rPr>
        <w:t> </w:t>
      </w:r>
    </w:p>
    <w:p w14:paraId="1B179603" w14:textId="77777777" w:rsidR="00D246A9" w:rsidRDefault="00D246A9">
      <w:pPr>
        <w:pStyle w:val="rrdsinglerule"/>
        <w:pBdr>
          <w:top w:val="single" w:sz="6" w:space="0" w:color="0075C9"/>
        </w:pBdr>
        <w:spacing w:before="0"/>
        <w:rPr>
          <w:sz w:val="24"/>
          <w:szCs w:val="24"/>
        </w:rPr>
      </w:pPr>
      <w:r>
        <w:t> </w:t>
      </w:r>
    </w:p>
    <w:p w14:paraId="72E2C18F" w14:textId="77777777" w:rsidR="00D246A9" w:rsidRDefault="00D246A9" w:rsidP="00B4165A">
      <w:pPr>
        <w:pStyle w:val="Heading3"/>
      </w:pPr>
      <w:bookmarkStart w:id="11" w:name="toc356108_12"/>
      <w:bookmarkEnd w:id="11"/>
      <w:r>
        <w:t xml:space="preserve">Section 3 – Pay Setting Governance and Process </w:t>
      </w:r>
    </w:p>
    <w:p w14:paraId="00288E4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establishes the design of our executive compensation program. After considering Mr. Nadella’s recommendations, our Compensation Committee also approves the annual target compensation (base salaries, target cash incentives, and equity incentive compensation) for our Named Executives, except Mr. Nadella. After considering the recommendation of our Compensation Committee, the independent members of our Board approved Mr. Nadella’s base salary, target cash incentive, and target performance stock award, providing no time-based stock awards for fiscal year 2023. </w:t>
      </w:r>
    </w:p>
    <w:p w14:paraId="2EE7E37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also retains, and seeks the advice </w:t>
      </w:r>
      <w:proofErr w:type="gramStart"/>
      <w:r>
        <w:rPr>
          <w:rFonts w:ascii="Arial" w:hAnsi="Arial" w:cs="Arial"/>
          <w:sz w:val="18"/>
          <w:szCs w:val="18"/>
        </w:rPr>
        <w:t>of,</w:t>
      </w:r>
      <w:proofErr w:type="gramEnd"/>
      <w:r>
        <w:rPr>
          <w:rFonts w:ascii="Arial" w:hAnsi="Arial" w:cs="Arial"/>
          <w:sz w:val="18"/>
          <w:szCs w:val="18"/>
        </w:rPr>
        <w:t xml:space="preserve"> Pay Governance, an executive compensation consulting firm that is independent of management. See Part 1 – Governance and our Board of Directors – Board Committees for more information on Pay Governance’s role and independence as an advisor to the Compensation Committee. </w:t>
      </w:r>
    </w:p>
    <w:p w14:paraId="110ED8C7" w14:textId="77777777" w:rsidR="00D246A9" w:rsidRDefault="00D246A9" w:rsidP="006309E1">
      <w:pPr>
        <w:pStyle w:val="Heading4"/>
      </w:pPr>
      <w:r>
        <w:t xml:space="preserve">Competitive Pay </w:t>
      </w:r>
    </w:p>
    <w:p w14:paraId="019F0C2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compete for senior executive talent with global information technology companies, large market capitalization U.S. companies, and smaller, high-growth technology businesses, depending on the role. The current technology labor market is hyper-competitive with demand growing faster than the supply of specialized technical talent, resulting in significant increases in compensation at many of the companies with which we compete for this talent. The same conditions exist in the market for executive-level talent that can provide innovative leadership while managing at a global scale across several complex businesses. We expect these trends to continue and will work to ensure our approach to executive compensation is responsive to evolving market conditions. </w:t>
      </w:r>
    </w:p>
    <w:p w14:paraId="4DA22768" w14:textId="77777777" w:rsidR="00D246A9" w:rsidRDefault="00D246A9" w:rsidP="006309E1">
      <w:pPr>
        <w:pStyle w:val="Heading4"/>
      </w:pPr>
      <w:r>
        <w:t xml:space="preserve">Approach to Compensation Benchmarking </w:t>
      </w:r>
    </w:p>
    <w:p w14:paraId="60CEA88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To ensure that our Board and Compensation Committee have current information to set appropriate compensation levels, we conduct an executive compensation market analysis each year that draws from third-party compensation surveys and publicly available data for a group of peer companies. We supplement this analysis with additional market information specific to each executive’s role and responsibilities, including information gleaned from our experience recruiting for executive positions at Microsoft. While this market analysis and supplemental data inform the decisions of the independent members of our Board and our Compensation Committee on the range of compensation opportunities, we do not tie Named Executive compensation to specific market percentiles. Because other companies actively recruit our executives to fill CEO and other senior leadership positions, we supplement market information with data on external opportunities potentially available to our executives. We also consider the relationship of annual target compensation among internal peers. </w:t>
      </w:r>
    </w:p>
    <w:p w14:paraId="73254AD7" w14:textId="4F661018" w:rsidR="00625366"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setting our fiscal year 2023 executive compensation program design and compensation levels, we considered pay practices at the largest technology and general industry companies that our Compensation Committee believes are led by executives with similarly complex roles and responsibilities. Our Compensation Committee also screened these companies to ensure they had a significant presence outside the U.S. and excluded companies in the financial services sector because of the different regulatory environment in which they operate. </w:t>
      </w:r>
    </w:p>
    <w:p w14:paraId="198437EC" w14:textId="77777777" w:rsidR="00625366" w:rsidRDefault="00625366">
      <w:pPr>
        <w:rPr>
          <w:rFonts w:ascii="Arial" w:hAnsi="Arial" w:cs="Arial"/>
          <w:sz w:val="18"/>
          <w:szCs w:val="18"/>
        </w:rPr>
      </w:pPr>
      <w:r>
        <w:rPr>
          <w:rFonts w:ascii="Arial" w:hAnsi="Arial" w:cs="Arial"/>
          <w:sz w:val="18"/>
          <w:szCs w:val="18"/>
        </w:rPr>
        <w:br w:type="page"/>
      </w:r>
    </w:p>
    <w:p w14:paraId="78B51296" w14:textId="77777777" w:rsidR="00D246A9" w:rsidRDefault="00D246A9" w:rsidP="006309E1">
      <w:pPr>
        <w:pStyle w:val="Heading4"/>
      </w:pPr>
      <w:r>
        <w:lastRenderedPageBreak/>
        <w:t xml:space="preserve">Peer Group Used for Fiscal Year 2023 Pay Analysis </w:t>
      </w:r>
    </w:p>
    <w:p w14:paraId="559707B1"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For fiscal year 2023, the Compensation Committee reviewed the evolution of our business against our historical peer group, and as a result approved the use of two peer groups to better reflect the differentiated business, talent and, in some cases, pay models, across sectors: </w:t>
      </w:r>
    </w:p>
    <w:p w14:paraId="1E0EED3D"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Primary Peer Group of bellwether technology companies, which reflect Microsoft’s more direct competitors for executive talent </w:t>
      </w:r>
    </w:p>
    <w:p w14:paraId="3DB01221"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Secondary Peer Group of “large cap” general industry companies, which reflect the complexities of operating large, global, innovative businesses and Microsoft’s broader competition for executive talent </w:t>
      </w:r>
    </w:p>
    <w:p w14:paraId="26B45514" w14:textId="77777777" w:rsidR="00D246A9" w:rsidRDefault="00D246A9">
      <w:pPr>
        <w:pStyle w:val="NormalWeb"/>
        <w:spacing w:before="90" w:beforeAutospacing="0" w:after="0" w:afterAutospacing="0"/>
        <w:rPr>
          <w:sz w:val="2"/>
          <w:szCs w:val="2"/>
        </w:rPr>
      </w:pPr>
      <w:r>
        <w:rPr>
          <w:sz w:val="2"/>
          <w:szCs w:val="2"/>
        </w:rPr>
        <w:t> </w:t>
      </w:r>
    </w:p>
    <w:p w14:paraId="6F30B8FA"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The companies in the fiscal year 2023 peer groups are: </w:t>
      </w:r>
    </w:p>
    <w:p w14:paraId="3B35516C"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Primary Peer Group – Technology </w:t>
      </w:r>
    </w:p>
    <w:p w14:paraId="078166CB" w14:textId="77777777" w:rsidR="00D246A9" w:rsidRDefault="00D246A9">
      <w:pPr>
        <w:pStyle w:val="rrdsinglerule"/>
        <w:pBdr>
          <w:top w:val="single" w:sz="6" w:space="0" w:color="0075C9"/>
        </w:pBdr>
        <w:rPr>
          <w:sz w:val="24"/>
          <w:szCs w:val="24"/>
        </w:rPr>
      </w:pPr>
      <w:r>
        <w:t> </w:t>
      </w:r>
    </w:p>
    <w:tbl>
      <w:tblPr>
        <w:tblW w:w="0" w:type="auto"/>
        <w:jc w:val="center"/>
        <w:tblLayout w:type="fixed"/>
        <w:tblCellMar>
          <w:left w:w="0" w:type="dxa"/>
          <w:right w:w="0" w:type="dxa"/>
        </w:tblCellMar>
        <w:tblLook w:val="0600" w:firstRow="0" w:lastRow="0" w:firstColumn="0" w:lastColumn="0" w:noHBand="1" w:noVBand="1"/>
      </w:tblPr>
      <w:tblGrid>
        <w:gridCol w:w="1404"/>
        <w:gridCol w:w="1404"/>
        <w:gridCol w:w="1404"/>
        <w:gridCol w:w="1404"/>
        <w:gridCol w:w="1404"/>
        <w:gridCol w:w="3780"/>
      </w:tblGrid>
      <w:tr w:rsidR="00D246A9" w14:paraId="56BC0FCC" w14:textId="77777777" w:rsidTr="00625366">
        <w:trPr>
          <w:cantSplit/>
          <w:jc w:val="center"/>
        </w:trPr>
        <w:tc>
          <w:tcPr>
            <w:tcW w:w="1404" w:type="dxa"/>
            <w:vAlign w:val="bottom"/>
            <w:hideMark/>
          </w:tcPr>
          <w:p w14:paraId="51A9EF9E" w14:textId="77777777" w:rsidR="00D246A9" w:rsidRPr="00306F7C" w:rsidRDefault="00D246A9">
            <w:pPr>
              <w:pStyle w:val="NormalWeb"/>
              <w:spacing w:before="0" w:beforeAutospacing="0" w:after="0" w:afterAutospacing="0"/>
              <w:rPr>
                <w:rFonts w:ascii="Arial" w:hAnsi="Arial" w:cs="Arial"/>
                <w:sz w:val="16"/>
                <w:szCs w:val="16"/>
              </w:rPr>
            </w:pPr>
            <w:r>
              <w:rPr>
                <w:rFonts w:ascii="Arial" w:hAnsi="Arial" w:cs="Arial"/>
                <w:sz w:val="16"/>
                <w:szCs w:val="16"/>
              </w:rPr>
              <w:t>Adobe</w:t>
            </w:r>
          </w:p>
          <w:p w14:paraId="7F5A52F7"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Alphabet</w:t>
            </w:r>
          </w:p>
        </w:tc>
        <w:tc>
          <w:tcPr>
            <w:tcW w:w="1404" w:type="dxa"/>
            <w:vAlign w:val="bottom"/>
            <w:hideMark/>
          </w:tcPr>
          <w:p w14:paraId="472DD460"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Amazon</w:t>
            </w:r>
          </w:p>
          <w:p w14:paraId="44395073"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Apple</w:t>
            </w:r>
          </w:p>
        </w:tc>
        <w:tc>
          <w:tcPr>
            <w:tcW w:w="1404" w:type="dxa"/>
            <w:vAlign w:val="bottom"/>
            <w:hideMark/>
          </w:tcPr>
          <w:p w14:paraId="65D022FE"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Cisco Systems</w:t>
            </w:r>
          </w:p>
          <w:p w14:paraId="7CDB5498"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IBM         </w:t>
            </w:r>
          </w:p>
        </w:tc>
        <w:tc>
          <w:tcPr>
            <w:tcW w:w="1404" w:type="dxa"/>
            <w:vAlign w:val="bottom"/>
            <w:hideMark/>
          </w:tcPr>
          <w:p w14:paraId="054941C2"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Intel</w:t>
            </w:r>
          </w:p>
          <w:p w14:paraId="666C70BD"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Meta</w:t>
            </w:r>
          </w:p>
        </w:tc>
        <w:tc>
          <w:tcPr>
            <w:tcW w:w="1404" w:type="dxa"/>
            <w:vAlign w:val="bottom"/>
            <w:hideMark/>
          </w:tcPr>
          <w:p w14:paraId="692DE484"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Oracle</w:t>
            </w:r>
          </w:p>
          <w:p w14:paraId="20A47E56"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Qualcomm</w:t>
            </w:r>
          </w:p>
        </w:tc>
        <w:tc>
          <w:tcPr>
            <w:tcW w:w="3780" w:type="dxa"/>
            <w:hideMark/>
          </w:tcPr>
          <w:p w14:paraId="618F6FAC" w14:textId="77777777" w:rsidR="00D246A9" w:rsidRDefault="00D246A9">
            <w:pPr>
              <w:rPr>
                <w:rFonts w:ascii="Arial" w:hAnsi="Arial" w:cs="Arial"/>
                <w:sz w:val="16"/>
                <w:szCs w:val="16"/>
              </w:rPr>
            </w:pPr>
            <w:r>
              <w:rPr>
                <w:rFonts w:ascii="Arial" w:hAnsi="Arial" w:cs="Arial"/>
                <w:sz w:val="16"/>
                <w:szCs w:val="16"/>
              </w:rPr>
              <w:t>Salesforce</w:t>
            </w:r>
          </w:p>
        </w:tc>
      </w:tr>
    </w:tbl>
    <w:p w14:paraId="07B6D7AF" w14:textId="77777777" w:rsidR="00D246A9" w:rsidRPr="00306F7C" w:rsidRDefault="00D246A9">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Secondary Peer Group – General Industry </w:t>
      </w:r>
    </w:p>
    <w:p w14:paraId="0C7D0E7F" w14:textId="77777777" w:rsidR="00D246A9" w:rsidRDefault="00D246A9">
      <w:pPr>
        <w:pStyle w:val="rrdsinglerule"/>
        <w:pBdr>
          <w:top w:val="single" w:sz="6" w:space="0" w:color="0075C9"/>
        </w:pBdr>
        <w:rPr>
          <w:sz w:val="24"/>
          <w:szCs w:val="24"/>
        </w:rPr>
      </w:pPr>
      <w:r>
        <w:t> </w:t>
      </w:r>
    </w:p>
    <w:tbl>
      <w:tblPr>
        <w:tblW w:w="0" w:type="auto"/>
        <w:jc w:val="center"/>
        <w:tblLayout w:type="fixed"/>
        <w:tblCellMar>
          <w:left w:w="0" w:type="dxa"/>
          <w:right w:w="0" w:type="dxa"/>
        </w:tblCellMar>
        <w:tblLook w:val="0600" w:firstRow="0" w:lastRow="0" w:firstColumn="0" w:lastColumn="0" w:noHBand="1" w:noVBand="1"/>
      </w:tblPr>
      <w:tblGrid>
        <w:gridCol w:w="1403"/>
        <w:gridCol w:w="1403"/>
        <w:gridCol w:w="1406"/>
        <w:gridCol w:w="1404"/>
        <w:gridCol w:w="1404"/>
        <w:gridCol w:w="3780"/>
      </w:tblGrid>
      <w:tr w:rsidR="00D246A9" w14:paraId="110AF6B3" w14:textId="77777777" w:rsidTr="00625366">
        <w:trPr>
          <w:cantSplit/>
          <w:jc w:val="center"/>
        </w:trPr>
        <w:tc>
          <w:tcPr>
            <w:tcW w:w="1403" w:type="dxa"/>
            <w:vAlign w:val="bottom"/>
            <w:hideMark/>
          </w:tcPr>
          <w:p w14:paraId="5631FF36" w14:textId="77777777" w:rsidR="00D246A9" w:rsidRPr="00306F7C" w:rsidRDefault="00D246A9">
            <w:pPr>
              <w:pStyle w:val="NormalWeb"/>
              <w:spacing w:before="0" w:beforeAutospacing="0" w:after="0" w:afterAutospacing="0"/>
              <w:rPr>
                <w:rFonts w:ascii="Arial" w:hAnsi="Arial" w:cs="Arial"/>
                <w:sz w:val="16"/>
                <w:szCs w:val="16"/>
              </w:rPr>
            </w:pPr>
            <w:r>
              <w:rPr>
                <w:rFonts w:ascii="Arial" w:hAnsi="Arial" w:cs="Arial"/>
                <w:sz w:val="16"/>
                <w:szCs w:val="16"/>
              </w:rPr>
              <w:t>Accenture</w:t>
            </w:r>
          </w:p>
          <w:p w14:paraId="5718ABE8"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AT&amp;T</w:t>
            </w:r>
          </w:p>
        </w:tc>
        <w:tc>
          <w:tcPr>
            <w:tcW w:w="1403" w:type="dxa"/>
            <w:vAlign w:val="bottom"/>
            <w:hideMark/>
          </w:tcPr>
          <w:p w14:paraId="6887D5B2"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Comcast</w:t>
            </w:r>
          </w:p>
          <w:p w14:paraId="3E1DF584"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Honeywell</w:t>
            </w:r>
          </w:p>
        </w:tc>
        <w:tc>
          <w:tcPr>
            <w:tcW w:w="1406" w:type="dxa"/>
            <w:vAlign w:val="bottom"/>
            <w:hideMark/>
          </w:tcPr>
          <w:p w14:paraId="1E60995B"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Johnson &amp; Johnson</w:t>
            </w:r>
          </w:p>
          <w:p w14:paraId="7AE7E7B6"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Merck         </w:t>
            </w:r>
          </w:p>
        </w:tc>
        <w:tc>
          <w:tcPr>
            <w:tcW w:w="1404" w:type="dxa"/>
            <w:vAlign w:val="bottom"/>
            <w:hideMark/>
          </w:tcPr>
          <w:p w14:paraId="2DB11F0A"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Netflix</w:t>
            </w:r>
          </w:p>
          <w:p w14:paraId="7F008816"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Pfizer     </w:t>
            </w:r>
          </w:p>
        </w:tc>
        <w:tc>
          <w:tcPr>
            <w:tcW w:w="1404" w:type="dxa"/>
            <w:vAlign w:val="bottom"/>
            <w:hideMark/>
          </w:tcPr>
          <w:p w14:paraId="5271C2CE"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Procter &amp; Gamble</w:t>
            </w:r>
          </w:p>
          <w:p w14:paraId="714B3AC4"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Tesla</w:t>
            </w:r>
          </w:p>
        </w:tc>
        <w:tc>
          <w:tcPr>
            <w:tcW w:w="3780" w:type="dxa"/>
            <w:hideMark/>
          </w:tcPr>
          <w:p w14:paraId="6E1A5A8D"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Verizon</w:t>
            </w:r>
          </w:p>
          <w:p w14:paraId="0410BC0D"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Walt Disney</w:t>
            </w:r>
          </w:p>
        </w:tc>
      </w:tr>
    </w:tbl>
    <w:p w14:paraId="6CA6D870" w14:textId="77777777"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Given Microsoft’s significant size, scale, and growth, Microsoft is larger than the typical company in both peer groups, which is a factor when we set executive pay. The following charts show Microsoft’s position within the combined peer groups on the two screening criteria. Data are presented in billions as of August 1, 2023, with annual revenue based on the most recent publicly reported fiscal year-end data. </w:t>
      </w:r>
    </w:p>
    <w:p w14:paraId="57CA2F5B" w14:textId="77777777" w:rsidR="00D246A9" w:rsidRDefault="00D246A9">
      <w:pPr>
        <w:pStyle w:val="NormalWeb"/>
        <w:keepNext/>
        <w:spacing w:before="0" w:beforeAutospacing="0" w:after="0" w:afterAutospacing="0"/>
      </w:pPr>
      <w:r>
        <w:t> </w:t>
      </w:r>
    </w:p>
    <w:p w14:paraId="02879AD7" w14:textId="77777777" w:rsidR="00D246A9" w:rsidRDefault="00D246A9">
      <w:pPr>
        <w:pStyle w:val="NormalWeb"/>
        <w:keepNext/>
        <w:spacing w:before="0" w:beforeAutospacing="0" w:after="0" w:afterAutospacing="0"/>
        <w:rPr>
          <w:sz w:val="2"/>
          <w:szCs w:val="2"/>
        </w:rPr>
      </w:pPr>
      <w:r>
        <w:rPr>
          <w:sz w:val="2"/>
          <w:szCs w:val="2"/>
        </w:rPr>
        <w:t> </w:t>
      </w:r>
    </w:p>
    <w:p w14:paraId="274BE959" w14:textId="06D30DBE" w:rsidR="00D246A9" w:rsidRDefault="00E92416">
      <w:pPr>
        <w:pStyle w:val="NormalWeb"/>
        <w:spacing w:before="0" w:beforeAutospacing="0" w:after="0" w:afterAutospacing="0"/>
        <w:jc w:val="center"/>
      </w:pPr>
      <w:r>
        <w:rPr>
          <w:noProof/>
        </w:rPr>
        <w:drawing>
          <wp:inline distT="0" distB="0" distL="0" distR="0" wp14:anchorId="69C2E233" wp14:editId="0B3A1517">
            <wp:extent cx="6217920" cy="1506504"/>
            <wp:effectExtent l="0" t="0" r="0" b="0"/>
            <wp:docPr id="1455792580" name="Picture 13" descr="For Market Capitalization, the lowest among our peer group is 102 billion and the highest is 3,095 billion with the median being 215 billion. Microsoft sits at the 98th percentile with a market capitalization of 2,499 billion, which is 12 times the median.&#10;&#10;For annual revenue, the lowest among our peer group is 18 billion and the highest is 514 billion, with the median being 80 billion. Microsoft sits at the 89th percentile with annual revenue of 212 billion, which is 3 times the 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92580" name="Picture 13" descr="For Market Capitalization, the lowest among our peer group is 102 billion and the highest is 3,095 billion with the median being 215 billion. Microsoft sits at the 98th percentile with a market capitalization of 2,499 billion, which is 12 times the median.&#10;&#10;For annual revenue, the lowest among our peer group is 18 billion and the highest is 514 billion, with the median being 80 billion. Microsoft sits at the 89th percentile with annual revenue of 212 billion, which is 3 times the median."/>
                    <pic:cNvPicPr/>
                  </pic:nvPicPr>
                  <pic:blipFill>
                    <a:blip r:embed="rId54">
                      <a:extLst>
                        <a:ext uri="{28A0092B-C50C-407E-A947-70E740481C1C}">
                          <a14:useLocalDpi xmlns:a14="http://schemas.microsoft.com/office/drawing/2010/main" val="0"/>
                        </a:ext>
                      </a:extLst>
                    </a:blip>
                    <a:stretch>
                      <a:fillRect/>
                    </a:stretch>
                  </pic:blipFill>
                  <pic:spPr>
                    <a:xfrm>
                      <a:off x="0" y="0"/>
                      <a:ext cx="6217920" cy="1506504"/>
                    </a:xfrm>
                    <a:prstGeom prst="rect">
                      <a:avLst/>
                    </a:prstGeom>
                  </pic:spPr>
                </pic:pic>
              </a:graphicData>
            </a:graphic>
          </wp:inline>
        </w:drawing>
      </w:r>
    </w:p>
    <w:p w14:paraId="2643BA80" w14:textId="77777777" w:rsidR="00D246A9" w:rsidRDefault="00D246A9" w:rsidP="006309E1">
      <w:pPr>
        <w:pStyle w:val="Heading4"/>
      </w:pPr>
      <w:r>
        <w:t xml:space="preserve">Performance-Based Pay and Goal Setting </w:t>
      </w:r>
    </w:p>
    <w:p w14:paraId="0F568FB4"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incentive compensation arrangements are tied to specific performance measures that drive long-term performance and value creation. For fiscal year 2023: </w:t>
      </w:r>
    </w:p>
    <w:p w14:paraId="06D39FA5" w14:textId="77777777" w:rsidR="00D246A9" w:rsidRDefault="00D246A9" w:rsidP="00625366">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Over 95% of our CEO’s annual target compensation opportunity was performance-based and over 50% of the total pay opportunity for other Named Executives was performance-based </w:t>
      </w:r>
    </w:p>
    <w:p w14:paraId="7FA039B4" w14:textId="77777777" w:rsidR="00D246A9" w:rsidRDefault="00D246A9" w:rsidP="00625366">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70% of our CEO’s annual cash incentive was tied to achieving pre-established financial metric targets (50% for our other Named Executives) </w:t>
      </w:r>
    </w:p>
    <w:p w14:paraId="40D2BA82" w14:textId="77777777" w:rsidR="00D246A9" w:rsidRDefault="00D246A9" w:rsidP="00625366">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100% of our CEO’s annual target equity opportunity was delivered in the form of a performance-based stock award (50% for our other Named Executives), with payouts based on achievement against pre-established quantitative performance metrics </w:t>
      </w:r>
    </w:p>
    <w:p w14:paraId="6F49DA7A" w14:textId="77777777" w:rsidR="00D246A9" w:rsidRDefault="00D246A9" w:rsidP="00625366">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Management and our Compensation Committee discussed in detail the metrics that determine performance stock awards to ensure they are leading indicators that will drive long-term performance and value creation. The Committee establishes rigorous goals for each metric that require significant year-over-year improvement in order for target awards to be earned </w:t>
      </w:r>
    </w:p>
    <w:p w14:paraId="7F4F5E92" w14:textId="77777777" w:rsidR="00D246A9" w:rsidRDefault="00D246A9" w:rsidP="00625366">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Performance stock awards include a relative TSR modifier to strengthen the alignment of the interests of our Named Executives with the long-term interests of our shareholders; in order for the TSR modifier to affect the performance stock awards positively, our relative TSR must be above the 60</w:t>
      </w:r>
      <w:r w:rsidRPr="00625366">
        <w:rPr>
          <w:rFonts w:ascii="Arial" w:hAnsi="Arial" w:cs="Arial"/>
          <w:sz w:val="18"/>
          <w:szCs w:val="18"/>
        </w:rPr>
        <w:t>th</w:t>
      </w:r>
      <w:r>
        <w:rPr>
          <w:rFonts w:ascii="Arial" w:hAnsi="Arial" w:cs="Arial"/>
          <w:sz w:val="18"/>
          <w:szCs w:val="18"/>
        </w:rPr>
        <w:t xml:space="preserve"> percentile of the S&amp;P 500 </w:t>
      </w:r>
    </w:p>
    <w:p w14:paraId="22EC08B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sets cash incentive and performance stock award (“PSA”) metric targets at the levels established, after review and engagement by the Board, for internal budgeting purposes. These targets are intended to be challenging but achievable. Our Compensation Committee then determines thresholds, maximums, and interim payout levels after considering historical data, upside/downside scenarios, sensitivity analysis, and year-over-year growth comparisons, to ensure rigorous alignment of payouts to performance. We set thresholds that we believe are reasonably achievable and maximums that we believe can be reached only with exceptional performance. Our Compensation Committee actively reviews the appropriateness of payout thresholds and maximums for each metric. Our Compensation Committee focuses on ensuring that our challenging goals, when achieved, will result in long-term shareholder value creation and, historically, our performance against these challenging goals has led to substantial returns to our shareholders. </w:t>
      </w:r>
    </w:p>
    <w:p w14:paraId="541824AF" w14:textId="77777777" w:rsidR="00D246A9" w:rsidRDefault="00D246A9">
      <w:pPr>
        <w:pStyle w:val="NormalWeb"/>
        <w:spacing w:before="180" w:beforeAutospacing="0" w:after="0" w:afterAutospacing="0"/>
        <w:rPr>
          <w:sz w:val="2"/>
          <w:szCs w:val="2"/>
        </w:rPr>
      </w:pPr>
      <w:r>
        <w:rPr>
          <w:sz w:val="2"/>
          <w:szCs w:val="2"/>
        </w:rPr>
        <w:t> </w:t>
      </w:r>
    </w:p>
    <w:p w14:paraId="23B73222" w14:textId="77777777" w:rsidR="00212B0B" w:rsidRDefault="00212B0B">
      <w:pPr>
        <w:rPr>
          <w:rFonts w:ascii="Arial" w:hAnsi="Arial" w:cs="Arial"/>
          <w:b/>
          <w:bCs/>
          <w:color w:val="0075C9"/>
          <w:sz w:val="20"/>
        </w:rPr>
      </w:pPr>
      <w:r>
        <w:br w:type="page"/>
      </w:r>
    </w:p>
    <w:p w14:paraId="3D44283D" w14:textId="256EB8E0" w:rsidR="00D246A9" w:rsidRDefault="00D246A9" w:rsidP="00212B0B">
      <w:pPr>
        <w:pStyle w:val="Heading5"/>
      </w:pPr>
      <w:r>
        <w:lastRenderedPageBreak/>
        <w:t xml:space="preserve">Focus on Pay for Performance </w:t>
      </w:r>
    </w:p>
    <w:p w14:paraId="7AC87DC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Over 95% of the annual target compensation opportunity for the CEO is performance-based and over 50% for our other Named Executives. All Named Executive Officers had at least 70% of the annual target compensation delivered in the form of equity awards, with average across all Named Executives over 80%, to incentivize a long-term focus and align their interests with those of our shareholders. </w:t>
      </w:r>
    </w:p>
    <w:p w14:paraId="06119D8C" w14:textId="23E30812" w:rsidR="00E92416" w:rsidRDefault="00E92416">
      <w:pPr>
        <w:pStyle w:val="NormalWeb"/>
        <w:spacing w:before="120" w:beforeAutospacing="0" w:after="0" w:afterAutospacing="0"/>
        <w:rPr>
          <w:rFonts w:ascii="Arial" w:hAnsi="Arial" w:cs="Arial"/>
          <w:sz w:val="18"/>
          <w:szCs w:val="18"/>
        </w:rPr>
      </w:pPr>
      <w:r>
        <w:rPr>
          <w:rFonts w:ascii="Arial" w:hAnsi="Arial" w:cs="Arial"/>
          <w:noProof/>
          <w:sz w:val="18"/>
          <w:szCs w:val="18"/>
        </w:rPr>
        <w:drawing>
          <wp:inline distT="0" distB="0" distL="0" distR="0" wp14:anchorId="57B95F66" wp14:editId="355F028D">
            <wp:extent cx="6858000" cy="2776855"/>
            <wp:effectExtent l="0" t="0" r="0" b="4445"/>
            <wp:docPr id="572001557" name="Picture 12" descr="Our fiscal year 2023 pay mix is broken down as follows:&#10;&#10;For our CEO, 4.2% of pay is base salary, 12.5% cash incentives, and 83.3% performance stock award, for a total of 95.8% performance based compensation.&#10;&#10;For all other named executives, their pay is 5.6% base salary, 13.4% cash incentives, 40.5% performance stock award, and 40.5% stock award, for a total of 53.9% performance based compen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01557" name="Picture 12" descr="Our fiscal year 2023 pay mix is broken down as follows:&#10;&#10;For our CEO, 4.2% of pay is base salary, 12.5% cash incentives, and 83.3% performance stock award, for a total of 95.8% performance based compensation.&#10;&#10;For all other named executives, their pay is 5.6% base salary, 13.4% cash incentives, 40.5% performance stock award, and 40.5% stock award, for a total of 53.9% performance based compensation."/>
                    <pic:cNvPicPr/>
                  </pic:nvPicPr>
                  <pic:blipFill>
                    <a:blip r:embed="rId55">
                      <a:extLst>
                        <a:ext uri="{28A0092B-C50C-407E-A947-70E740481C1C}">
                          <a14:useLocalDpi xmlns:a14="http://schemas.microsoft.com/office/drawing/2010/main" val="0"/>
                        </a:ext>
                      </a:extLst>
                    </a:blip>
                    <a:stretch>
                      <a:fillRect/>
                    </a:stretch>
                  </pic:blipFill>
                  <pic:spPr>
                    <a:xfrm>
                      <a:off x="0" y="0"/>
                      <a:ext cx="6858000" cy="2776855"/>
                    </a:xfrm>
                    <a:prstGeom prst="rect">
                      <a:avLst/>
                    </a:prstGeom>
                  </pic:spPr>
                </pic:pic>
              </a:graphicData>
            </a:graphic>
          </wp:inline>
        </w:drawing>
      </w:r>
    </w:p>
    <w:tbl>
      <w:tblPr>
        <w:tblW w:w="0" w:type="auto"/>
        <w:jc w:val="center"/>
        <w:tblLayout w:type="fixed"/>
        <w:tblCellMar>
          <w:left w:w="0" w:type="dxa"/>
          <w:right w:w="0" w:type="dxa"/>
        </w:tblCellMar>
        <w:tblLook w:val="04A0" w:firstRow="1" w:lastRow="0" w:firstColumn="1" w:lastColumn="0" w:noHBand="0" w:noVBand="1"/>
      </w:tblPr>
      <w:tblGrid>
        <w:gridCol w:w="3456"/>
        <w:gridCol w:w="3888"/>
        <w:gridCol w:w="3456"/>
      </w:tblGrid>
      <w:tr w:rsidR="00D246A9" w14:paraId="72DA09FA" w14:textId="77777777" w:rsidTr="00FE0A0A">
        <w:trPr>
          <w:jc w:val="center"/>
        </w:trPr>
        <w:tc>
          <w:tcPr>
            <w:tcW w:w="3456" w:type="dxa"/>
            <w:vAlign w:val="center"/>
            <w:hideMark/>
          </w:tcPr>
          <w:p w14:paraId="788D4DE5" w14:textId="77777777" w:rsidR="00D246A9" w:rsidRDefault="00D246A9">
            <w:pPr>
              <w:rPr>
                <w:rFonts w:ascii="Arial" w:hAnsi="Arial" w:cs="Arial"/>
                <w:sz w:val="18"/>
                <w:szCs w:val="18"/>
              </w:rPr>
            </w:pPr>
          </w:p>
        </w:tc>
        <w:tc>
          <w:tcPr>
            <w:tcW w:w="3888" w:type="dxa"/>
            <w:vAlign w:val="center"/>
            <w:hideMark/>
          </w:tcPr>
          <w:p w14:paraId="5FF242E6" w14:textId="77777777" w:rsidR="00D246A9" w:rsidRDefault="00D246A9">
            <w:pPr>
              <w:rPr>
                <w:sz w:val="20"/>
              </w:rPr>
            </w:pPr>
          </w:p>
        </w:tc>
        <w:tc>
          <w:tcPr>
            <w:tcW w:w="3456" w:type="dxa"/>
            <w:vAlign w:val="center"/>
            <w:hideMark/>
          </w:tcPr>
          <w:p w14:paraId="6BFD635E" w14:textId="77777777" w:rsidR="00D246A9" w:rsidRDefault="00D246A9">
            <w:pPr>
              <w:rPr>
                <w:sz w:val="20"/>
              </w:rPr>
            </w:pPr>
          </w:p>
        </w:tc>
      </w:tr>
    </w:tbl>
    <w:p w14:paraId="2B8156CD" w14:textId="77777777" w:rsidR="00D246A9" w:rsidRPr="00306F7C" w:rsidRDefault="00D246A9">
      <w:pPr>
        <w:pStyle w:val="rrdsinglerule"/>
        <w:pBdr>
          <w:top w:val="single" w:sz="6" w:space="0" w:color="0075C9"/>
        </w:pBdr>
        <w:spacing w:before="480"/>
        <w:rPr>
          <w:sz w:val="24"/>
          <w:szCs w:val="24"/>
        </w:rPr>
      </w:pPr>
      <w:r>
        <w:t> </w:t>
      </w:r>
    </w:p>
    <w:p w14:paraId="1BEBB916" w14:textId="77777777" w:rsidR="00D246A9" w:rsidRDefault="00D246A9" w:rsidP="00B4165A">
      <w:pPr>
        <w:pStyle w:val="Heading3"/>
      </w:pPr>
      <w:bookmarkStart w:id="12" w:name="toc356108_13"/>
      <w:bookmarkEnd w:id="12"/>
      <w:r>
        <w:t xml:space="preserve">Section 4 – Fiscal Year 2023 Compensation Program Design </w:t>
      </w:r>
    </w:p>
    <w:p w14:paraId="3D2846D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Consistent with our philosophy, the compensation program for our Named Executives in fiscal year 2023 consisted of an annual base salary plus annual cash and equity incentives awarded under our Executive Incentive Plan (“Incentive Plan”). </w:t>
      </w:r>
    </w:p>
    <w:p w14:paraId="4D31F19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Annual cash incentives were performance-based, with 70% determined formulaically based on achievement against pre-established financial targets for our CEO (50% for our other Named Executives) and 30% determined based on operational performance in three weighted performance categories for our CEO (50% for our other Named Executives). Our Compensation Committee and the independent members of our Board believe this allocation strengthens our CEO’s accountability to achieving results on the objective financial metrics that most closely align with our business strategy and provides a strong incentive for our other Named Executives to drive performance on those key initiatives, which we believe strongly contributes to our success. </w:t>
      </w:r>
    </w:p>
    <w:p w14:paraId="100DAE4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Equity incentives under the Incentive Plan were allocated 100% to target PSAs for our CEO. Equity incentives under the Incentive Plan were allocated 50% to target PSAs and 50% to stock awards with four-year vesting (“SAs”) for our other Named Executives. Our Compensation Committee and the independent members of our Board believed the 100% PSA level for our CEO will strengthen the alignment of his pay and Microsoft’s long-term performance, while the 50/50 balance between PSAs and SAs appropriately supported our long-term business goals and long-term retention incentives for our other Named Executives, while also aligning their interests with those of our shareholders. </w:t>
      </w:r>
    </w:p>
    <w:p w14:paraId="77E4C39E" w14:textId="77777777" w:rsidR="00D246A9" w:rsidRDefault="00D246A9" w:rsidP="006309E1">
      <w:pPr>
        <w:pStyle w:val="Heading4"/>
      </w:pPr>
      <w:r>
        <w:t xml:space="preserve">Base Salaries </w:t>
      </w:r>
    </w:p>
    <w:p w14:paraId="1E318A1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base salaries align with the scope and complexity of their roles, their capabilities, and competitive market conditions. </w:t>
      </w:r>
    </w:p>
    <w:p w14:paraId="6D8AB02D" w14:textId="77777777" w:rsidR="00D246A9" w:rsidRDefault="00D246A9">
      <w:pPr>
        <w:pStyle w:val="NormalWeb"/>
        <w:spacing w:before="180" w:beforeAutospacing="0" w:after="0" w:afterAutospacing="0"/>
        <w:rPr>
          <w:sz w:val="2"/>
          <w:szCs w:val="2"/>
        </w:rPr>
      </w:pPr>
      <w:r>
        <w:rPr>
          <w:sz w:val="2"/>
          <w:szCs w:val="2"/>
        </w:rPr>
        <w:t> </w:t>
      </w:r>
    </w:p>
    <w:p w14:paraId="22C5E313" w14:textId="77777777" w:rsidR="006309E1" w:rsidRDefault="006309E1">
      <w:pPr>
        <w:rPr>
          <w:rFonts w:ascii="Arial" w:hAnsi="Arial" w:cs="Arial"/>
          <w:b/>
          <w:bCs/>
          <w:szCs w:val="24"/>
        </w:rPr>
      </w:pPr>
      <w:r>
        <w:br w:type="page"/>
      </w:r>
    </w:p>
    <w:p w14:paraId="7C958DCE" w14:textId="305AB45B" w:rsidR="00D246A9" w:rsidRDefault="00D246A9" w:rsidP="006309E1">
      <w:pPr>
        <w:pStyle w:val="Heading4"/>
      </w:pPr>
      <w:r>
        <w:lastRenderedPageBreak/>
        <w:t xml:space="preserve">Annual Cash Incentives </w:t>
      </w:r>
    </w:p>
    <w:p w14:paraId="106E0190"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Cash incentives are determined in two performance categories for our CEO and other NEOs, as follows: </w:t>
      </w:r>
    </w:p>
    <w:p w14:paraId="673EB02D" w14:textId="77777777" w:rsidR="00D246A9" w:rsidRDefault="00D246A9">
      <w:pPr>
        <w:pStyle w:val="NormalWeb"/>
        <w:keepNext/>
        <w:spacing w:before="0" w:beforeAutospacing="0" w:after="0" w:afterAutospacing="0"/>
      </w:pPr>
      <w:r>
        <w:t> </w:t>
      </w:r>
    </w:p>
    <w:p w14:paraId="6AF99765" w14:textId="77777777" w:rsidR="00D246A9" w:rsidRDefault="00D246A9">
      <w:pPr>
        <w:pStyle w:val="NormalWeb"/>
        <w:keepNext/>
        <w:spacing w:before="0" w:beforeAutospacing="0" w:after="0" w:afterAutospacing="0"/>
        <w:rPr>
          <w:sz w:val="2"/>
          <w:szCs w:val="2"/>
        </w:rPr>
      </w:pPr>
      <w:r>
        <w:rPr>
          <w:sz w:val="2"/>
          <w:szCs w:val="2"/>
        </w:rPr>
        <w:t> </w:t>
      </w:r>
    </w:p>
    <w:p w14:paraId="0431F0DC" w14:textId="07C6A91E" w:rsidR="00D246A9" w:rsidRDefault="00625366">
      <w:pPr>
        <w:pStyle w:val="NormalWeb"/>
        <w:spacing w:before="0" w:beforeAutospacing="0" w:after="0" w:afterAutospacing="0"/>
        <w:jc w:val="center"/>
      </w:pPr>
      <w:r>
        <w:rPr>
          <w:noProof/>
        </w:rPr>
        <w:drawing>
          <wp:inline distT="0" distB="0" distL="0" distR="0" wp14:anchorId="6B52A9A8" wp14:editId="0FF5072F">
            <wp:extent cx="6675120" cy="1826570"/>
            <wp:effectExtent l="0" t="0" r="0" b="2540"/>
            <wp:docPr id="2084372523" name="Picture 10" descr="For CEO, Financial makes up 70% of the result, broken into 35% incentive plan revenue and 35% incentive plan operating income. Operational assessment is the other 30%, broken into 10% product and strategy, 10% customers and stakeholders, and 10% culture, diversity, and sustainability. These are multiplied by the individual target cash incentive in dollars, which is base salary times target cash incentive as a percentage, all resulting in the total individual cash incentive award represented as a dollar value. &#10;&#10;For NEO, Financial makes up 50% of the result, broken into 25% incentive plan revenue and 25% incentive plan operating income. Operational assessment is the other 50%, broken into 16.67% product and strategy, 16.67% customers and stakeholders, and 16.66% culture, diversity, and sustainability. These are multiplied by the individual target cash incentive in dollars, which is base salary times target cash incentive as a percentage, all resulting in the total individual cash incentive award represented as a dollar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72523" name="Picture 10" descr="For CEO, Financial makes up 70% of the result, broken into 35% incentive plan revenue and 35% incentive plan operating income. Operational assessment is the other 30%, broken into 10% product and strategy, 10% customers and stakeholders, and 10% culture, diversity, and sustainability. These are multiplied by the individual target cash incentive in dollars, which is base salary times target cash incentive as a percentage, all resulting in the total individual cash incentive award represented as a dollar value. &#10;&#10;For NEO, Financial makes up 50% of the result, broken into 25% incentive plan revenue and 25% incentive plan operating income. Operational assessment is the other 50%, broken into 16.67% product and strategy, 16.67% customers and stakeholders, and 16.66% culture, diversity, and sustainability. These are multiplied by the individual target cash incentive in dollars, which is base salary times target cash incentive as a percentage, all resulting in the total individual cash incentive award represented as a dollar value. "/>
                    <pic:cNvPicPr/>
                  </pic:nvPicPr>
                  <pic:blipFill>
                    <a:blip r:embed="rId56">
                      <a:extLst>
                        <a:ext uri="{28A0092B-C50C-407E-A947-70E740481C1C}">
                          <a14:useLocalDpi xmlns:a14="http://schemas.microsoft.com/office/drawing/2010/main" val="0"/>
                        </a:ext>
                      </a:extLst>
                    </a:blip>
                    <a:stretch>
                      <a:fillRect/>
                    </a:stretch>
                  </pic:blipFill>
                  <pic:spPr>
                    <a:xfrm>
                      <a:off x="0" y="0"/>
                      <a:ext cx="6675120" cy="1826570"/>
                    </a:xfrm>
                    <a:prstGeom prst="rect">
                      <a:avLst/>
                    </a:prstGeom>
                  </pic:spPr>
                </pic:pic>
              </a:graphicData>
            </a:graphic>
          </wp:inline>
        </w:drawing>
      </w:r>
    </w:p>
    <w:p w14:paraId="0AF1E272" w14:textId="77777777" w:rsidR="00D246A9" w:rsidRDefault="00D246A9">
      <w:pPr>
        <w:pStyle w:val="NormalWeb"/>
        <w:spacing w:before="120" w:beforeAutospacing="0" w:after="0" w:afterAutospacing="0"/>
        <w:ind w:left="244" w:hanging="122"/>
        <w:rPr>
          <w:rFonts w:ascii="Arial" w:hAnsi="Arial" w:cs="Arial"/>
          <w:sz w:val="16"/>
          <w:szCs w:val="16"/>
        </w:rPr>
      </w:pPr>
      <w:r>
        <w:rPr>
          <w:rFonts w:ascii="Arial" w:hAnsi="Arial" w:cs="Arial"/>
          <w:sz w:val="16"/>
          <w:szCs w:val="16"/>
        </w:rPr>
        <w:t>*</w:t>
      </w:r>
      <w:r>
        <w:rPr>
          <w:rFonts w:ascii="Arial" w:hAnsi="Arial" w:cs="Arial"/>
          <w:sz w:val="16"/>
          <w:szCs w:val="16"/>
        </w:rPr>
        <w:tab/>
        <w:t xml:space="preserve">“Incentive Plan Revenue” and “Incentive Plan Operating Income” are non-GAAP financial measures defined on page 43. </w:t>
      </w:r>
    </w:p>
    <w:p w14:paraId="7C88DD91" w14:textId="77777777" w:rsidR="00D246A9" w:rsidRDefault="00D246A9" w:rsidP="00212B0B">
      <w:pPr>
        <w:pStyle w:val="Heading5"/>
      </w:pPr>
      <w:r>
        <w:t xml:space="preserve">Financial </w:t>
      </w:r>
    </w:p>
    <w:p w14:paraId="29A8FFA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include financial performance measures in our cash incentives to measure our success in meeting internal annual financial performance goals for revenue and profitability which we believe drive long-term value creation. </w:t>
      </w:r>
    </w:p>
    <w:p w14:paraId="5365A7B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For fiscal year 2023, the financial portion of the annual cash incentives was determined based on meeting pre-established performance targets for Incentive Plan Revenue and Incentive Plan Operating Income. The fiscal year 2023 Incentive Plan Revenue and Incentive Plan Operating Income performance targets were based on meeting the Company’s fiscal year 2023 internal operating budget. </w:t>
      </w:r>
    </w:p>
    <w:p w14:paraId="7DE06B86" w14:textId="77777777" w:rsidR="00D246A9" w:rsidRDefault="00D246A9" w:rsidP="00212B0B">
      <w:pPr>
        <w:pStyle w:val="Heading5"/>
      </w:pPr>
      <w:r>
        <w:t xml:space="preserve">Operational Assessment </w:t>
      </w:r>
    </w:p>
    <w:p w14:paraId="2589F588"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operational assessment portion of each Named Executive’s fiscal year 2023 annual cash incentives was determined based on evaluation of their individual contributions to the furtherance of financial, operational, strategic, and ESG indicators in three performance categories. The performance indicators varied based on the Named Executive’s responsibilities and the function or group he or she leads, and may have included (in alphabetical order in each category): </w:t>
      </w:r>
    </w:p>
    <w:p w14:paraId="7CCC11D0" w14:textId="5DEAD71A" w:rsidR="00D2791E" w:rsidRDefault="00D2791E">
      <w:pPr>
        <w:pStyle w:val="NormalWeb"/>
        <w:keepNext/>
        <w:spacing w:before="120" w:beforeAutospacing="0" w:after="0" w:afterAutospacing="0"/>
        <w:rPr>
          <w:rFonts w:ascii="Arial" w:hAnsi="Arial" w:cs="Arial"/>
          <w:sz w:val="18"/>
          <w:szCs w:val="18"/>
        </w:rPr>
      </w:pPr>
      <w:r>
        <w:rPr>
          <w:rFonts w:ascii="Arial" w:hAnsi="Arial" w:cs="Arial"/>
          <w:noProof/>
          <w:sz w:val="18"/>
          <w:szCs w:val="18"/>
        </w:rPr>
        <w:drawing>
          <wp:inline distT="0" distB="0" distL="0" distR="0" wp14:anchorId="154AE78D" wp14:editId="412FCFE3">
            <wp:extent cx="6858000" cy="1704975"/>
            <wp:effectExtent l="0" t="0" r="0" b="9525"/>
            <wp:docPr id="1415819938" name="Picture 11" descr="Product and strategy, which includes efficiency and productivity, innovation, product development and implementation of strategic roadmap, quality, and revenue, consumption, and market share.&#10;&#10;Customers and stakeholders, which includes customer and partner engagement and outreach, customer satisfaction, and developer engagement.&#10;&#10;Culture, diversity, and sustainability, which inclu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19938" name="Picture 11" descr="Product and strategy, which includes efficiency and productivity, innovation, product development and implementation of strategic roadmap, quality, and revenue, consumption, and market share.&#10;&#10;Customers and stakeholders, which includes customer and partner engagement and outreach, customer satisfaction, and developer engagement.&#10;&#10;Culture, diversity, and sustainability, which includes "/>
                    <pic:cNvPicPr/>
                  </pic:nvPicPr>
                  <pic:blipFill>
                    <a:blip r:embed="rId57">
                      <a:extLst>
                        <a:ext uri="{28A0092B-C50C-407E-A947-70E740481C1C}">
                          <a14:useLocalDpi xmlns:a14="http://schemas.microsoft.com/office/drawing/2010/main" val="0"/>
                        </a:ext>
                      </a:extLst>
                    </a:blip>
                    <a:stretch>
                      <a:fillRect/>
                    </a:stretch>
                  </pic:blipFill>
                  <pic:spPr>
                    <a:xfrm>
                      <a:off x="0" y="0"/>
                      <a:ext cx="6858000" cy="1704975"/>
                    </a:xfrm>
                    <a:prstGeom prst="rect">
                      <a:avLst/>
                    </a:prstGeom>
                  </pic:spPr>
                </pic:pic>
              </a:graphicData>
            </a:graphic>
          </wp:inline>
        </w:drawing>
      </w:r>
    </w:p>
    <w:p w14:paraId="5F7CA24D" w14:textId="77777777" w:rsidR="00D246A9" w:rsidRPr="00306F7C" w:rsidRDefault="00D246A9">
      <w:pPr>
        <w:pStyle w:val="NormalWeb"/>
        <w:keepNext/>
        <w:spacing w:before="240" w:beforeAutospacing="0" w:after="0" w:afterAutospacing="0"/>
        <w:rPr>
          <w:rFonts w:ascii="Arial" w:hAnsi="Arial" w:cs="Arial"/>
          <w:sz w:val="18"/>
          <w:szCs w:val="18"/>
        </w:rPr>
      </w:pPr>
      <w:r>
        <w:rPr>
          <w:rFonts w:ascii="Arial" w:hAnsi="Arial" w:cs="Arial"/>
          <w:sz w:val="18"/>
          <w:szCs w:val="18"/>
        </w:rPr>
        <w:t xml:space="preserve">For Mr. Nadella, the independent members of our Board also considered: </w:t>
      </w:r>
    </w:p>
    <w:p w14:paraId="4B6B3FE9" w14:textId="77777777" w:rsidR="00D246A9" w:rsidRDefault="00D246A9" w:rsidP="00D2791E">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Input from Microsoft’s senior executives about Mr. Nadella’s leadership </w:t>
      </w:r>
    </w:p>
    <w:p w14:paraId="6C7FA29C" w14:textId="77777777" w:rsidR="00D246A9" w:rsidRDefault="00D246A9" w:rsidP="00D2791E">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Mr. Nadella’s evaluation of Microsoft’s and his individual performance over the past fiscal year </w:t>
      </w:r>
    </w:p>
    <w:p w14:paraId="778E3A1F" w14:textId="77777777" w:rsidR="00D246A9" w:rsidRDefault="00D246A9">
      <w:pPr>
        <w:pStyle w:val="NormalWeb"/>
        <w:spacing w:before="180" w:beforeAutospacing="0" w:after="0" w:afterAutospacing="0"/>
        <w:rPr>
          <w:sz w:val="2"/>
          <w:szCs w:val="2"/>
        </w:rPr>
      </w:pPr>
      <w:r>
        <w:rPr>
          <w:sz w:val="2"/>
          <w:szCs w:val="2"/>
        </w:rPr>
        <w:t> </w:t>
      </w:r>
    </w:p>
    <w:p w14:paraId="2658B66B" w14:textId="77777777" w:rsidR="00D246A9" w:rsidRDefault="00D246A9" w:rsidP="006309E1">
      <w:pPr>
        <w:pStyle w:val="Heading4"/>
      </w:pPr>
      <w:r>
        <w:t xml:space="preserve">Equity Compensation </w:t>
      </w:r>
    </w:p>
    <w:p w14:paraId="345AE3C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Under the Incentive Plan, each year, our Named Executives receive PSAs and our Named Executives, other than Mr. Nadella, receive SAs. </w:t>
      </w:r>
    </w:p>
    <w:p w14:paraId="1DE189B6" w14:textId="77777777" w:rsidR="00D246A9" w:rsidRDefault="00D246A9" w:rsidP="00212B0B">
      <w:pPr>
        <w:pStyle w:val="Heading5"/>
      </w:pPr>
      <w:r>
        <w:t xml:space="preserve">Performance Stock Awards </w:t>
      </w:r>
    </w:p>
    <w:p w14:paraId="706CCFF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PSAs are designed to encourage our executives to achieve rigorous goals in key performance metrics to drive long-term performance and value creation. </w:t>
      </w:r>
    </w:p>
    <w:p w14:paraId="197380E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Due to the dynamic nature of our business and the specificity of the performance metrics that are chosen under our PSA program, we believe that measuring performance annually over our three-year performance period and modifying the actual awards eligible to be earned based on our three-year relative TSR provides the most accurate and holistic assessment of Microsoft’s long-term trajectory and performance achievements. </w:t>
      </w:r>
    </w:p>
    <w:p w14:paraId="158B2211" w14:textId="77777777" w:rsidR="00212B0B" w:rsidRDefault="00212B0B">
      <w:pPr>
        <w:rPr>
          <w:rFonts w:ascii="Arial" w:hAnsi="Arial" w:cs="Arial"/>
          <w:b/>
          <w:bCs/>
          <w:color w:val="0075C9"/>
          <w:sz w:val="20"/>
        </w:rPr>
      </w:pPr>
      <w:r>
        <w:br w:type="page"/>
      </w:r>
    </w:p>
    <w:p w14:paraId="7F2460FF" w14:textId="43AB1681" w:rsidR="00D246A9" w:rsidRDefault="00D246A9" w:rsidP="00212B0B">
      <w:pPr>
        <w:pStyle w:val="Heading5"/>
      </w:pPr>
      <w:r>
        <w:lastRenderedPageBreak/>
        <w:t xml:space="preserve">Fiscal Year 2023 Performance Stock Award Metrics and Weights </w:t>
      </w:r>
    </w:p>
    <w:p w14:paraId="31AA235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Fiscal year 2023 PSA metrics are strategic measures that drive long-term performance and value creation. Targets for the PSA metrics are set at the target levels established under Microsoft’s fiscal year business plan and are intended to be difficult but attainable, and additional information about our goal-setting process is on page 47. The metrics and weights used for fiscal year 2023 are in the table below. </w:t>
      </w:r>
    </w:p>
    <w:p w14:paraId="671B1254" w14:textId="77777777" w:rsidR="00D246A9" w:rsidRDefault="00D246A9" w:rsidP="006309E1">
      <w:pPr>
        <w:pStyle w:val="Heading4"/>
      </w:pPr>
      <w:r>
        <w:t xml:space="preserve">Fiscal Year 2023 PSA Metrics </w:t>
      </w:r>
    </w:p>
    <w:p w14:paraId="149B0A2B" w14:textId="77777777" w:rsidR="00D246A9" w:rsidRDefault="00D246A9">
      <w:pPr>
        <w:pStyle w:val="NormalWeb"/>
        <w:keepNext/>
        <w:spacing w:before="0" w:beforeAutospacing="0" w:after="0" w:afterAutospacing="0"/>
        <w:rPr>
          <w:sz w:val="12"/>
          <w:szCs w:val="12"/>
        </w:rPr>
      </w:pPr>
      <w:r>
        <w:rPr>
          <w:sz w:val="12"/>
          <w:szCs w:val="12"/>
        </w:rPr>
        <w:t> </w:t>
      </w:r>
    </w:p>
    <w:tbl>
      <w:tblPr>
        <w:tblW w:w="0" w:type="auto"/>
        <w:tblLayout w:type="fixed"/>
        <w:tblCellMar>
          <w:left w:w="0" w:type="dxa"/>
          <w:right w:w="0" w:type="dxa"/>
        </w:tblCellMar>
        <w:tblLook w:val="04A0" w:firstRow="1" w:lastRow="0" w:firstColumn="1" w:lastColumn="0" w:noHBand="0" w:noVBand="1"/>
      </w:tblPr>
      <w:tblGrid>
        <w:gridCol w:w="2810"/>
        <w:gridCol w:w="23"/>
        <w:gridCol w:w="6912"/>
        <w:gridCol w:w="1055"/>
      </w:tblGrid>
      <w:tr w:rsidR="00D246A9" w14:paraId="0741AD3B" w14:textId="77777777" w:rsidTr="00FE0A0A">
        <w:trPr>
          <w:cantSplit/>
        </w:trPr>
        <w:tc>
          <w:tcPr>
            <w:tcW w:w="2810" w:type="dxa"/>
            <w:tcBorders>
              <w:bottom w:val="single" w:sz="8" w:space="0" w:color="000000"/>
            </w:tcBorders>
            <w:hideMark/>
          </w:tcPr>
          <w:p w14:paraId="21C0CBBA" w14:textId="77777777" w:rsidR="00D246A9" w:rsidRDefault="00D246A9">
            <w:pPr>
              <w:rPr>
                <w:rFonts w:ascii="Arial" w:hAnsi="Arial" w:cs="Arial"/>
                <w:sz w:val="18"/>
                <w:szCs w:val="18"/>
              </w:rPr>
            </w:pPr>
            <w:r>
              <w:rPr>
                <w:rFonts w:ascii="Arial" w:hAnsi="Arial" w:cs="Arial"/>
                <w:b/>
                <w:bCs/>
                <w:sz w:val="18"/>
                <w:szCs w:val="18"/>
              </w:rPr>
              <w:t> </w:t>
            </w:r>
            <w:r>
              <w:rPr>
                <w:rFonts w:ascii="Arial" w:hAnsi="Arial" w:cs="Arial"/>
                <w:b/>
                <w:bCs/>
                <w:sz w:val="18"/>
                <w:szCs w:val="18"/>
              </w:rPr>
              <w:t>Performance Metrics</w:t>
            </w:r>
          </w:p>
        </w:tc>
        <w:tc>
          <w:tcPr>
            <w:tcW w:w="23" w:type="dxa"/>
            <w:tcBorders>
              <w:bottom w:val="single" w:sz="8" w:space="0" w:color="000000"/>
            </w:tcBorders>
            <w:hideMark/>
          </w:tcPr>
          <w:p w14:paraId="7C5452A4" w14:textId="77777777" w:rsidR="00D246A9" w:rsidRPr="00306F7C" w:rsidRDefault="00D246A9">
            <w:pPr>
              <w:pStyle w:val="NormalWeb"/>
              <w:spacing w:before="0" w:beforeAutospacing="0" w:after="0" w:afterAutospacing="0"/>
              <w:rPr>
                <w:rFonts w:ascii="Arial" w:hAnsi="Arial" w:cs="Arial"/>
                <w:sz w:val="8"/>
                <w:szCs w:val="8"/>
              </w:rPr>
            </w:pPr>
            <w:r>
              <w:rPr>
                <w:rFonts w:ascii="Arial" w:hAnsi="Arial" w:cs="Arial"/>
                <w:sz w:val="8"/>
                <w:szCs w:val="8"/>
              </w:rPr>
              <w:t> </w:t>
            </w:r>
          </w:p>
          <w:p w14:paraId="49F366FF"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6912" w:type="dxa"/>
            <w:tcBorders>
              <w:bottom w:val="single" w:sz="8" w:space="0" w:color="000000"/>
            </w:tcBorders>
            <w:hideMark/>
          </w:tcPr>
          <w:p w14:paraId="19C32393" w14:textId="77777777" w:rsidR="00D246A9" w:rsidRDefault="00D246A9">
            <w:pPr>
              <w:rPr>
                <w:rFonts w:ascii="Arial" w:hAnsi="Arial" w:cs="Arial"/>
                <w:sz w:val="18"/>
                <w:szCs w:val="18"/>
              </w:rPr>
            </w:pPr>
            <w:r>
              <w:rPr>
                <w:rFonts w:ascii="Arial" w:hAnsi="Arial" w:cs="Arial"/>
                <w:b/>
                <w:bCs/>
                <w:sz w:val="18"/>
                <w:szCs w:val="18"/>
              </w:rPr>
              <w:t>Description</w:t>
            </w:r>
          </w:p>
        </w:tc>
        <w:tc>
          <w:tcPr>
            <w:tcW w:w="1055" w:type="dxa"/>
            <w:tcBorders>
              <w:bottom w:val="single" w:sz="8" w:space="0" w:color="000000"/>
            </w:tcBorders>
            <w:hideMark/>
          </w:tcPr>
          <w:p w14:paraId="6E387732" w14:textId="77777777" w:rsidR="00D246A9" w:rsidRDefault="00D246A9">
            <w:pPr>
              <w:rPr>
                <w:rFonts w:ascii="Arial" w:hAnsi="Arial" w:cs="Arial"/>
                <w:sz w:val="18"/>
                <w:szCs w:val="18"/>
              </w:rPr>
            </w:pPr>
            <w:r>
              <w:rPr>
                <w:rFonts w:ascii="Arial" w:hAnsi="Arial" w:cs="Arial"/>
                <w:b/>
                <w:bCs/>
                <w:sz w:val="18"/>
                <w:szCs w:val="18"/>
              </w:rPr>
              <w:t>Weights</w:t>
            </w:r>
          </w:p>
        </w:tc>
      </w:tr>
      <w:tr w:rsidR="00D246A9" w14:paraId="5AA72D71" w14:textId="77777777" w:rsidTr="00FE0A0A">
        <w:trPr>
          <w:cantSplit/>
        </w:trPr>
        <w:tc>
          <w:tcPr>
            <w:tcW w:w="2810" w:type="dxa"/>
            <w:tcBorders>
              <w:bottom w:val="single" w:sz="6" w:space="0" w:color="0075C9"/>
            </w:tcBorders>
            <w:tcMar>
              <w:top w:w="0" w:type="dxa"/>
              <w:left w:w="0" w:type="dxa"/>
              <w:bottom w:w="60" w:type="dxa"/>
              <w:right w:w="0" w:type="dxa"/>
            </w:tcMar>
            <w:hideMark/>
          </w:tcPr>
          <w:p w14:paraId="62F52C62" w14:textId="77777777" w:rsidR="00D246A9" w:rsidRDefault="00D246A9">
            <w:pPr>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Microsoft Cloud Revenue*</w:t>
            </w:r>
          </w:p>
        </w:tc>
        <w:tc>
          <w:tcPr>
            <w:tcW w:w="23" w:type="dxa"/>
            <w:tcBorders>
              <w:bottom w:val="single" w:sz="6" w:space="0" w:color="0075C9"/>
            </w:tcBorders>
            <w:tcMar>
              <w:top w:w="0" w:type="dxa"/>
              <w:left w:w="0" w:type="dxa"/>
              <w:bottom w:w="60" w:type="dxa"/>
              <w:right w:w="0" w:type="dxa"/>
            </w:tcMar>
            <w:hideMark/>
          </w:tcPr>
          <w:p w14:paraId="72B496AC" w14:textId="77777777" w:rsidR="00D246A9" w:rsidRDefault="00D246A9">
            <w:pPr>
              <w:rPr>
                <w:rFonts w:ascii="Arial" w:hAnsi="Arial" w:cs="Arial"/>
                <w:sz w:val="18"/>
                <w:szCs w:val="18"/>
              </w:rPr>
            </w:pPr>
          </w:p>
        </w:tc>
        <w:tc>
          <w:tcPr>
            <w:tcW w:w="6912" w:type="dxa"/>
            <w:tcBorders>
              <w:bottom w:val="single" w:sz="6" w:space="0" w:color="0075C9"/>
            </w:tcBorders>
            <w:tcMar>
              <w:top w:w="0" w:type="dxa"/>
              <w:left w:w="0" w:type="dxa"/>
              <w:bottom w:w="60" w:type="dxa"/>
              <w:right w:w="0" w:type="dxa"/>
            </w:tcMar>
            <w:vAlign w:val="center"/>
            <w:hideMark/>
          </w:tcPr>
          <w:p w14:paraId="150533FB" w14:textId="77777777" w:rsidR="00D246A9" w:rsidRDefault="00D246A9">
            <w:pPr>
              <w:rPr>
                <w:rFonts w:ascii="Arial" w:hAnsi="Arial" w:cs="Arial"/>
                <w:sz w:val="18"/>
                <w:szCs w:val="18"/>
              </w:rPr>
            </w:pPr>
            <w:r>
              <w:rPr>
                <w:rFonts w:ascii="Arial" w:hAnsi="Arial" w:cs="Arial"/>
                <w:sz w:val="18"/>
                <w:szCs w:val="18"/>
              </w:rPr>
              <w:t>Revenue from Azure and other cloud services, Office 365 Commercial, the commercial portion of LinkedIn, Dynamics 365, and other commercial cloud properties</w:t>
            </w:r>
          </w:p>
        </w:tc>
        <w:tc>
          <w:tcPr>
            <w:tcW w:w="1055" w:type="dxa"/>
            <w:tcBorders>
              <w:bottom w:val="single" w:sz="6" w:space="0" w:color="0075C9"/>
            </w:tcBorders>
            <w:tcMar>
              <w:top w:w="0" w:type="dxa"/>
              <w:left w:w="0" w:type="dxa"/>
              <w:bottom w:w="60" w:type="dxa"/>
              <w:right w:w="0" w:type="dxa"/>
            </w:tcMar>
            <w:vAlign w:val="center"/>
            <w:hideMark/>
          </w:tcPr>
          <w:p w14:paraId="03A7E274" w14:textId="77777777" w:rsidR="00D246A9" w:rsidRPr="00306F7C" w:rsidRDefault="00D246A9">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30%</w:t>
            </w:r>
            <w:r>
              <w:rPr>
                <w:rFonts w:ascii="Arial" w:hAnsi="Arial" w:cs="Arial"/>
                <w:sz w:val="18"/>
                <w:szCs w:val="18"/>
              </w:rPr>
              <w:tab/>
            </w:r>
          </w:p>
        </w:tc>
      </w:tr>
      <w:tr w:rsidR="00D246A9" w14:paraId="43351ACE" w14:textId="77777777" w:rsidTr="00FE0A0A">
        <w:trPr>
          <w:cantSplit/>
        </w:trPr>
        <w:tc>
          <w:tcPr>
            <w:tcW w:w="2810" w:type="dxa"/>
            <w:tcBorders>
              <w:bottom w:val="single" w:sz="6" w:space="0" w:color="0075C9"/>
            </w:tcBorders>
            <w:tcMar>
              <w:top w:w="0" w:type="dxa"/>
              <w:left w:w="0" w:type="dxa"/>
              <w:bottom w:w="60" w:type="dxa"/>
              <w:right w:w="0" w:type="dxa"/>
            </w:tcMar>
            <w:hideMark/>
          </w:tcPr>
          <w:p w14:paraId="10935896" w14:textId="77777777" w:rsidR="00D246A9" w:rsidRPr="00306F7C"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Microsoft Cloud</w:t>
            </w:r>
          </w:p>
          <w:p w14:paraId="7FBA27C3" w14:textId="77777777" w:rsidR="00D246A9" w:rsidRDefault="00D246A9">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Subscribers Growth</w:t>
            </w:r>
          </w:p>
        </w:tc>
        <w:tc>
          <w:tcPr>
            <w:tcW w:w="23" w:type="dxa"/>
            <w:tcBorders>
              <w:bottom w:val="single" w:sz="6" w:space="0" w:color="0075C9"/>
            </w:tcBorders>
            <w:tcMar>
              <w:top w:w="0" w:type="dxa"/>
              <w:left w:w="0" w:type="dxa"/>
              <w:bottom w:w="60" w:type="dxa"/>
              <w:right w:w="0" w:type="dxa"/>
            </w:tcMar>
            <w:hideMark/>
          </w:tcPr>
          <w:p w14:paraId="239469AA" w14:textId="77777777" w:rsidR="00D246A9" w:rsidRDefault="00D246A9">
            <w:pPr>
              <w:rPr>
                <w:rFonts w:ascii="Arial" w:hAnsi="Arial" w:cs="Arial"/>
                <w:sz w:val="18"/>
                <w:szCs w:val="18"/>
              </w:rPr>
            </w:pPr>
          </w:p>
        </w:tc>
        <w:tc>
          <w:tcPr>
            <w:tcW w:w="6912" w:type="dxa"/>
            <w:tcBorders>
              <w:bottom w:val="single" w:sz="6" w:space="0" w:color="0075C9"/>
            </w:tcBorders>
            <w:tcMar>
              <w:top w:w="0" w:type="dxa"/>
              <w:left w:w="0" w:type="dxa"/>
              <w:bottom w:w="60" w:type="dxa"/>
              <w:right w:w="0" w:type="dxa"/>
            </w:tcMar>
            <w:vAlign w:val="center"/>
            <w:hideMark/>
          </w:tcPr>
          <w:p w14:paraId="0FA6621F" w14:textId="77777777" w:rsidR="00D246A9" w:rsidRDefault="00D246A9">
            <w:pPr>
              <w:rPr>
                <w:rFonts w:ascii="Arial" w:hAnsi="Arial" w:cs="Arial"/>
                <w:sz w:val="18"/>
                <w:szCs w:val="18"/>
              </w:rPr>
            </w:pPr>
            <w:r>
              <w:rPr>
                <w:rFonts w:ascii="Arial" w:hAnsi="Arial" w:cs="Arial"/>
                <w:sz w:val="18"/>
                <w:szCs w:val="18"/>
              </w:rPr>
              <w:t>Paid seats for current or new per-user SaaS cloud services primarily in commercial customer segment</w:t>
            </w:r>
          </w:p>
        </w:tc>
        <w:tc>
          <w:tcPr>
            <w:tcW w:w="1055" w:type="dxa"/>
            <w:tcBorders>
              <w:bottom w:val="single" w:sz="6" w:space="0" w:color="0075C9"/>
            </w:tcBorders>
            <w:tcMar>
              <w:top w:w="0" w:type="dxa"/>
              <w:left w:w="0" w:type="dxa"/>
              <w:bottom w:w="60" w:type="dxa"/>
              <w:right w:w="0" w:type="dxa"/>
            </w:tcMar>
            <w:vAlign w:val="center"/>
            <w:hideMark/>
          </w:tcPr>
          <w:p w14:paraId="7D0EFE0C" w14:textId="77777777" w:rsidR="00D246A9" w:rsidRPr="00306F7C" w:rsidRDefault="00D246A9">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20%</w:t>
            </w:r>
            <w:r>
              <w:rPr>
                <w:rFonts w:ascii="Arial" w:hAnsi="Arial" w:cs="Arial"/>
                <w:sz w:val="18"/>
                <w:szCs w:val="18"/>
              </w:rPr>
              <w:tab/>
            </w:r>
          </w:p>
        </w:tc>
      </w:tr>
      <w:tr w:rsidR="00D246A9" w14:paraId="0EE1BD1E" w14:textId="77777777" w:rsidTr="00FE0A0A">
        <w:trPr>
          <w:cantSplit/>
        </w:trPr>
        <w:tc>
          <w:tcPr>
            <w:tcW w:w="2810" w:type="dxa"/>
            <w:tcBorders>
              <w:bottom w:val="single" w:sz="6" w:space="0" w:color="0075C9"/>
            </w:tcBorders>
            <w:tcMar>
              <w:top w:w="0" w:type="dxa"/>
              <w:left w:w="0" w:type="dxa"/>
              <w:bottom w:w="60" w:type="dxa"/>
              <w:right w:w="0" w:type="dxa"/>
            </w:tcMar>
            <w:hideMark/>
          </w:tcPr>
          <w:p w14:paraId="6B37C335" w14:textId="77777777" w:rsidR="00D246A9" w:rsidRDefault="00D246A9" w:rsidP="000C4F60">
            <w:pPr>
              <w:ind w:left="90" w:hanging="90"/>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 xml:space="preserve">Teams Monthly Active Usage </w:t>
            </w:r>
            <w:r>
              <w:rPr>
                <w:rFonts w:ascii="Arial" w:hAnsi="Arial" w:cs="Arial"/>
                <w:b/>
                <w:bCs/>
                <w:color w:val="0075C9"/>
                <w:sz w:val="18"/>
                <w:szCs w:val="18"/>
              </w:rPr>
              <w:t> </w:t>
            </w:r>
            <w:r>
              <w:rPr>
                <w:rFonts w:ascii="Arial" w:hAnsi="Arial" w:cs="Arial"/>
                <w:b/>
                <w:bCs/>
                <w:color w:val="0075C9"/>
                <w:sz w:val="18"/>
                <w:szCs w:val="18"/>
              </w:rPr>
              <w:t>Growth</w:t>
            </w:r>
          </w:p>
        </w:tc>
        <w:tc>
          <w:tcPr>
            <w:tcW w:w="23" w:type="dxa"/>
            <w:tcBorders>
              <w:bottom w:val="single" w:sz="6" w:space="0" w:color="0075C9"/>
            </w:tcBorders>
            <w:tcMar>
              <w:top w:w="0" w:type="dxa"/>
              <w:left w:w="0" w:type="dxa"/>
              <w:bottom w:w="60" w:type="dxa"/>
              <w:right w:w="0" w:type="dxa"/>
            </w:tcMar>
            <w:hideMark/>
          </w:tcPr>
          <w:p w14:paraId="5548A936" w14:textId="77777777" w:rsidR="00D246A9" w:rsidRDefault="00D246A9">
            <w:pPr>
              <w:rPr>
                <w:rFonts w:ascii="Arial" w:hAnsi="Arial" w:cs="Arial"/>
                <w:sz w:val="18"/>
                <w:szCs w:val="18"/>
              </w:rPr>
            </w:pPr>
          </w:p>
        </w:tc>
        <w:tc>
          <w:tcPr>
            <w:tcW w:w="6912" w:type="dxa"/>
            <w:tcBorders>
              <w:bottom w:val="single" w:sz="6" w:space="0" w:color="0075C9"/>
            </w:tcBorders>
            <w:tcMar>
              <w:top w:w="0" w:type="dxa"/>
              <w:left w:w="0" w:type="dxa"/>
              <w:bottom w:w="60" w:type="dxa"/>
              <w:right w:w="0" w:type="dxa"/>
            </w:tcMar>
            <w:vAlign w:val="center"/>
            <w:hideMark/>
          </w:tcPr>
          <w:p w14:paraId="5F905841" w14:textId="77777777" w:rsidR="00D246A9" w:rsidRDefault="00D246A9">
            <w:pPr>
              <w:rPr>
                <w:rFonts w:ascii="Arial" w:hAnsi="Arial" w:cs="Arial"/>
                <w:sz w:val="18"/>
                <w:szCs w:val="18"/>
              </w:rPr>
            </w:pPr>
            <w:r>
              <w:rPr>
                <w:rFonts w:ascii="Arial" w:hAnsi="Arial" w:cs="Arial"/>
                <w:sz w:val="18"/>
                <w:szCs w:val="18"/>
              </w:rPr>
              <w:t>Unique monthly active users of Teams in Enterprise, Corporate, Small and Medium Business, Education, and Consumer</w:t>
            </w:r>
          </w:p>
        </w:tc>
        <w:tc>
          <w:tcPr>
            <w:tcW w:w="1055" w:type="dxa"/>
            <w:tcBorders>
              <w:bottom w:val="single" w:sz="6" w:space="0" w:color="0075C9"/>
            </w:tcBorders>
            <w:tcMar>
              <w:top w:w="0" w:type="dxa"/>
              <w:left w:w="0" w:type="dxa"/>
              <w:bottom w:w="60" w:type="dxa"/>
              <w:right w:w="0" w:type="dxa"/>
            </w:tcMar>
            <w:vAlign w:val="center"/>
            <w:hideMark/>
          </w:tcPr>
          <w:p w14:paraId="3F969513" w14:textId="77777777" w:rsidR="00D246A9" w:rsidRPr="00306F7C" w:rsidRDefault="00D246A9">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20%</w:t>
            </w:r>
            <w:r>
              <w:rPr>
                <w:rFonts w:ascii="Arial" w:hAnsi="Arial" w:cs="Arial"/>
                <w:sz w:val="18"/>
                <w:szCs w:val="18"/>
              </w:rPr>
              <w:tab/>
            </w:r>
          </w:p>
        </w:tc>
      </w:tr>
      <w:tr w:rsidR="00D246A9" w14:paraId="2FC6B272" w14:textId="77777777" w:rsidTr="00FE0A0A">
        <w:trPr>
          <w:cantSplit/>
        </w:trPr>
        <w:tc>
          <w:tcPr>
            <w:tcW w:w="2810" w:type="dxa"/>
            <w:tcBorders>
              <w:bottom w:val="single" w:sz="6" w:space="0" w:color="0075C9"/>
            </w:tcBorders>
            <w:tcMar>
              <w:top w:w="0" w:type="dxa"/>
              <w:left w:w="0" w:type="dxa"/>
              <w:bottom w:w="60" w:type="dxa"/>
              <w:right w:w="0" w:type="dxa"/>
            </w:tcMar>
            <w:hideMark/>
          </w:tcPr>
          <w:p w14:paraId="53266727" w14:textId="77777777" w:rsidR="00D246A9" w:rsidRPr="00306F7C"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 xml:space="preserve"> Xbox Content &amp; Services</w:t>
            </w:r>
          </w:p>
          <w:p w14:paraId="03502F38" w14:textId="77777777" w:rsidR="00D246A9" w:rsidRDefault="00D246A9">
            <w:pPr>
              <w:pStyle w:val="NormalWeb"/>
              <w:spacing w:before="0" w:beforeAutospacing="0" w:after="20" w:afterAutospacing="0"/>
              <w:rPr>
                <w:rFonts w:ascii="Arial" w:hAnsi="Arial" w:cs="Arial"/>
                <w:sz w:val="20"/>
                <w:szCs w:val="20"/>
              </w:rPr>
            </w:pPr>
            <w:r>
              <w:rPr>
                <w:rFonts w:ascii="Arial" w:hAnsi="Arial" w:cs="Arial"/>
                <w:b/>
                <w:bCs/>
                <w:color w:val="0075C9"/>
                <w:sz w:val="20"/>
                <w:szCs w:val="20"/>
              </w:rPr>
              <w:t> </w:t>
            </w:r>
            <w:r>
              <w:rPr>
                <w:rFonts w:ascii="Arial" w:hAnsi="Arial" w:cs="Arial"/>
                <w:b/>
                <w:bCs/>
                <w:color w:val="0075C9"/>
                <w:sz w:val="20"/>
                <w:szCs w:val="20"/>
              </w:rPr>
              <w:t>Revenue Growth*</w:t>
            </w:r>
          </w:p>
        </w:tc>
        <w:tc>
          <w:tcPr>
            <w:tcW w:w="23" w:type="dxa"/>
            <w:tcBorders>
              <w:bottom w:val="single" w:sz="6" w:space="0" w:color="0075C9"/>
            </w:tcBorders>
            <w:tcMar>
              <w:top w:w="0" w:type="dxa"/>
              <w:left w:w="0" w:type="dxa"/>
              <w:bottom w:w="60" w:type="dxa"/>
              <w:right w:w="0" w:type="dxa"/>
            </w:tcMar>
            <w:hideMark/>
          </w:tcPr>
          <w:p w14:paraId="363027F9" w14:textId="77777777" w:rsidR="00D246A9" w:rsidRDefault="00D246A9">
            <w:pPr>
              <w:rPr>
                <w:rFonts w:ascii="Arial" w:hAnsi="Arial" w:cs="Arial"/>
                <w:sz w:val="20"/>
              </w:rPr>
            </w:pPr>
          </w:p>
        </w:tc>
        <w:tc>
          <w:tcPr>
            <w:tcW w:w="6912" w:type="dxa"/>
            <w:tcBorders>
              <w:bottom w:val="single" w:sz="6" w:space="0" w:color="0075C9"/>
            </w:tcBorders>
            <w:tcMar>
              <w:top w:w="0" w:type="dxa"/>
              <w:left w:w="0" w:type="dxa"/>
              <w:bottom w:w="60" w:type="dxa"/>
              <w:right w:w="0" w:type="dxa"/>
            </w:tcMar>
            <w:vAlign w:val="center"/>
            <w:hideMark/>
          </w:tcPr>
          <w:p w14:paraId="707A50E0" w14:textId="77777777" w:rsidR="00D246A9" w:rsidRDefault="00D246A9">
            <w:pPr>
              <w:rPr>
                <w:rFonts w:ascii="Arial" w:hAnsi="Arial" w:cs="Arial"/>
                <w:sz w:val="20"/>
              </w:rPr>
            </w:pPr>
            <w:r>
              <w:rPr>
                <w:rFonts w:ascii="Arial" w:hAnsi="Arial" w:cs="Arial"/>
                <w:sz w:val="18"/>
                <w:szCs w:val="18"/>
              </w:rPr>
              <w:t>Revenue from Xbox content and services, comprising first- and third-party content (including games and in-game content), Xbox Game Pass and other subscriptions, Xbox Cloud Gaming, advertising, third-party disc royalties, and other cloud services</w:t>
            </w:r>
          </w:p>
        </w:tc>
        <w:tc>
          <w:tcPr>
            <w:tcW w:w="1055" w:type="dxa"/>
            <w:tcBorders>
              <w:bottom w:val="single" w:sz="6" w:space="0" w:color="0075C9"/>
            </w:tcBorders>
            <w:tcMar>
              <w:top w:w="0" w:type="dxa"/>
              <w:left w:w="0" w:type="dxa"/>
              <w:bottom w:w="60" w:type="dxa"/>
              <w:right w:w="0" w:type="dxa"/>
            </w:tcMar>
            <w:vAlign w:val="center"/>
            <w:hideMark/>
          </w:tcPr>
          <w:p w14:paraId="1F7D94EB" w14:textId="77777777" w:rsidR="00D246A9" w:rsidRPr="00306F7C" w:rsidRDefault="00D246A9">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10%</w:t>
            </w:r>
            <w:r>
              <w:rPr>
                <w:rFonts w:ascii="Arial" w:hAnsi="Arial" w:cs="Arial"/>
                <w:sz w:val="18"/>
                <w:szCs w:val="18"/>
              </w:rPr>
              <w:tab/>
            </w:r>
          </w:p>
        </w:tc>
      </w:tr>
      <w:tr w:rsidR="00D246A9" w14:paraId="2B8E81B5" w14:textId="77777777" w:rsidTr="00FE0A0A">
        <w:trPr>
          <w:cantSplit/>
        </w:trPr>
        <w:tc>
          <w:tcPr>
            <w:tcW w:w="2810" w:type="dxa"/>
            <w:tcBorders>
              <w:bottom w:val="single" w:sz="6" w:space="0" w:color="0075C9"/>
            </w:tcBorders>
            <w:tcMar>
              <w:top w:w="0" w:type="dxa"/>
              <w:left w:w="0" w:type="dxa"/>
              <w:bottom w:w="60" w:type="dxa"/>
              <w:right w:w="0" w:type="dxa"/>
            </w:tcMar>
            <w:hideMark/>
          </w:tcPr>
          <w:p w14:paraId="1E37C322" w14:textId="77777777" w:rsidR="00D246A9" w:rsidRDefault="00D246A9">
            <w:pPr>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 xml:space="preserve">Windows 10/11 MAD </w:t>
            </w:r>
            <w:r>
              <w:rPr>
                <w:rFonts w:ascii="Arial" w:hAnsi="Arial" w:cs="Arial"/>
                <w:b/>
                <w:bCs/>
                <w:color w:val="0075C9"/>
                <w:sz w:val="18"/>
                <w:szCs w:val="18"/>
              </w:rPr>
              <w:t> </w:t>
            </w:r>
            <w:r>
              <w:rPr>
                <w:rFonts w:ascii="Arial" w:hAnsi="Arial" w:cs="Arial"/>
                <w:b/>
                <w:bCs/>
                <w:color w:val="0075C9"/>
                <w:sz w:val="18"/>
                <w:szCs w:val="18"/>
              </w:rPr>
              <w:t>Growth</w:t>
            </w:r>
          </w:p>
        </w:tc>
        <w:tc>
          <w:tcPr>
            <w:tcW w:w="23" w:type="dxa"/>
            <w:tcBorders>
              <w:bottom w:val="single" w:sz="6" w:space="0" w:color="0075C9"/>
            </w:tcBorders>
            <w:tcMar>
              <w:top w:w="0" w:type="dxa"/>
              <w:left w:w="0" w:type="dxa"/>
              <w:bottom w:w="60" w:type="dxa"/>
              <w:right w:w="0" w:type="dxa"/>
            </w:tcMar>
            <w:hideMark/>
          </w:tcPr>
          <w:p w14:paraId="5C459FD4" w14:textId="77777777" w:rsidR="00D246A9" w:rsidRDefault="00D246A9">
            <w:pPr>
              <w:rPr>
                <w:rFonts w:ascii="Arial" w:hAnsi="Arial" w:cs="Arial"/>
                <w:sz w:val="18"/>
                <w:szCs w:val="18"/>
              </w:rPr>
            </w:pPr>
          </w:p>
        </w:tc>
        <w:tc>
          <w:tcPr>
            <w:tcW w:w="6912" w:type="dxa"/>
            <w:tcBorders>
              <w:bottom w:val="single" w:sz="6" w:space="0" w:color="0075C9"/>
            </w:tcBorders>
            <w:tcMar>
              <w:top w:w="0" w:type="dxa"/>
              <w:left w:w="0" w:type="dxa"/>
              <w:bottom w:w="60" w:type="dxa"/>
              <w:right w:w="0" w:type="dxa"/>
            </w:tcMar>
            <w:vAlign w:val="center"/>
            <w:hideMark/>
          </w:tcPr>
          <w:p w14:paraId="761175DC" w14:textId="77777777" w:rsidR="00D246A9" w:rsidRDefault="00D246A9">
            <w:pPr>
              <w:rPr>
                <w:rFonts w:ascii="Arial" w:hAnsi="Arial" w:cs="Arial"/>
                <w:sz w:val="18"/>
                <w:szCs w:val="18"/>
              </w:rPr>
            </w:pPr>
            <w:r>
              <w:rPr>
                <w:rFonts w:ascii="Arial" w:hAnsi="Arial" w:cs="Arial"/>
                <w:sz w:val="18"/>
                <w:szCs w:val="18"/>
              </w:rPr>
              <w:t>Windows monthly active devices (“MAD”) growth is defined as the count of Windows 10 and Windows 11 devices that were active in the last 28 days from a given date. The term device refers to Windows PCs and Tablets.</w:t>
            </w:r>
          </w:p>
        </w:tc>
        <w:tc>
          <w:tcPr>
            <w:tcW w:w="1055" w:type="dxa"/>
            <w:tcBorders>
              <w:bottom w:val="single" w:sz="6" w:space="0" w:color="0075C9"/>
            </w:tcBorders>
            <w:tcMar>
              <w:top w:w="0" w:type="dxa"/>
              <w:left w:w="0" w:type="dxa"/>
              <w:bottom w:w="60" w:type="dxa"/>
              <w:right w:w="0" w:type="dxa"/>
            </w:tcMar>
            <w:vAlign w:val="center"/>
            <w:hideMark/>
          </w:tcPr>
          <w:p w14:paraId="16E35DB4" w14:textId="77777777" w:rsidR="00D246A9" w:rsidRPr="00306F7C" w:rsidRDefault="00D246A9">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10%</w:t>
            </w:r>
            <w:r>
              <w:rPr>
                <w:rFonts w:ascii="Arial" w:hAnsi="Arial" w:cs="Arial"/>
                <w:sz w:val="18"/>
                <w:szCs w:val="18"/>
              </w:rPr>
              <w:tab/>
            </w:r>
          </w:p>
        </w:tc>
      </w:tr>
      <w:tr w:rsidR="00D246A9" w14:paraId="56C09C23" w14:textId="77777777" w:rsidTr="00FE0A0A">
        <w:trPr>
          <w:cantSplit/>
        </w:trPr>
        <w:tc>
          <w:tcPr>
            <w:tcW w:w="2810" w:type="dxa"/>
            <w:tcBorders>
              <w:bottom w:val="single" w:sz="6" w:space="0" w:color="0075C9"/>
            </w:tcBorders>
            <w:tcMar>
              <w:top w:w="0" w:type="dxa"/>
              <w:left w:w="0" w:type="dxa"/>
              <w:bottom w:w="100" w:type="dxa"/>
              <w:right w:w="0" w:type="dxa"/>
            </w:tcMar>
            <w:hideMark/>
          </w:tcPr>
          <w:p w14:paraId="47A58354" w14:textId="77777777" w:rsidR="00D246A9" w:rsidRDefault="00D246A9">
            <w:pPr>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LinkedIn Sessions</w:t>
            </w:r>
          </w:p>
        </w:tc>
        <w:tc>
          <w:tcPr>
            <w:tcW w:w="23" w:type="dxa"/>
            <w:tcBorders>
              <w:bottom w:val="single" w:sz="6" w:space="0" w:color="0075C9"/>
            </w:tcBorders>
            <w:tcMar>
              <w:top w:w="0" w:type="dxa"/>
              <w:left w:w="0" w:type="dxa"/>
              <w:bottom w:w="100" w:type="dxa"/>
              <w:right w:w="0" w:type="dxa"/>
            </w:tcMar>
            <w:hideMark/>
          </w:tcPr>
          <w:p w14:paraId="33AC148B" w14:textId="77777777" w:rsidR="00D246A9" w:rsidRDefault="00D246A9">
            <w:pPr>
              <w:rPr>
                <w:rFonts w:ascii="Arial" w:hAnsi="Arial" w:cs="Arial"/>
                <w:sz w:val="18"/>
                <w:szCs w:val="18"/>
              </w:rPr>
            </w:pPr>
          </w:p>
        </w:tc>
        <w:tc>
          <w:tcPr>
            <w:tcW w:w="6912" w:type="dxa"/>
            <w:tcBorders>
              <w:bottom w:val="single" w:sz="6" w:space="0" w:color="0075C9"/>
            </w:tcBorders>
            <w:tcMar>
              <w:top w:w="0" w:type="dxa"/>
              <w:left w:w="0" w:type="dxa"/>
              <w:bottom w:w="100" w:type="dxa"/>
              <w:right w:w="0" w:type="dxa"/>
            </w:tcMar>
            <w:hideMark/>
          </w:tcPr>
          <w:p w14:paraId="6B9CE8F7" w14:textId="77777777" w:rsidR="00D246A9" w:rsidRDefault="00D246A9">
            <w:pPr>
              <w:rPr>
                <w:rFonts w:ascii="Arial" w:hAnsi="Arial" w:cs="Arial"/>
                <w:sz w:val="18"/>
                <w:szCs w:val="18"/>
              </w:rPr>
            </w:pPr>
            <w:r>
              <w:rPr>
                <w:rFonts w:ascii="Arial" w:hAnsi="Arial" w:cs="Arial"/>
                <w:sz w:val="18"/>
                <w:szCs w:val="18"/>
              </w:rPr>
              <w:t>Measure of member visits as a leading indicator of the overall quality of the LinkedIn member experience and opportunity for members to realize their economic opportunity</w:t>
            </w:r>
          </w:p>
        </w:tc>
        <w:tc>
          <w:tcPr>
            <w:tcW w:w="1055" w:type="dxa"/>
            <w:tcBorders>
              <w:bottom w:val="single" w:sz="6" w:space="0" w:color="0075C9"/>
            </w:tcBorders>
            <w:tcMar>
              <w:top w:w="0" w:type="dxa"/>
              <w:left w:w="0" w:type="dxa"/>
              <w:bottom w:w="100" w:type="dxa"/>
              <w:right w:w="0" w:type="dxa"/>
            </w:tcMar>
            <w:vAlign w:val="center"/>
            <w:hideMark/>
          </w:tcPr>
          <w:p w14:paraId="7DA24F14" w14:textId="77777777" w:rsidR="00D246A9" w:rsidRPr="00306F7C" w:rsidRDefault="00D246A9">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10%</w:t>
            </w:r>
            <w:r>
              <w:rPr>
                <w:rFonts w:ascii="Arial" w:hAnsi="Arial" w:cs="Arial"/>
                <w:sz w:val="18"/>
                <w:szCs w:val="18"/>
              </w:rPr>
              <w:tab/>
            </w:r>
          </w:p>
        </w:tc>
      </w:tr>
      <w:tr w:rsidR="00D246A9" w14:paraId="16746F11" w14:textId="77777777" w:rsidTr="00FE0A0A">
        <w:trPr>
          <w:cantSplit/>
        </w:trPr>
        <w:tc>
          <w:tcPr>
            <w:tcW w:w="9745" w:type="dxa"/>
            <w:gridSpan w:val="3"/>
            <w:hideMark/>
          </w:tcPr>
          <w:p w14:paraId="1285E6E9"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35F84359" w14:textId="77777777" w:rsidR="00D246A9" w:rsidRDefault="00D246A9">
            <w:pPr>
              <w:pStyle w:val="NormalWeb"/>
              <w:spacing w:before="0" w:beforeAutospacing="0" w:after="0" w:afterAutospacing="0"/>
              <w:ind w:left="343" w:hanging="343"/>
              <w:rPr>
                <w:rFonts w:ascii="Arial" w:hAnsi="Arial" w:cs="Arial"/>
                <w:sz w:val="14"/>
                <w:szCs w:val="14"/>
              </w:rPr>
            </w:pPr>
            <w:r>
              <w:rPr>
                <w:rFonts w:ascii="Arial" w:hAnsi="Arial" w:cs="Arial"/>
                <w:sz w:val="14"/>
                <w:szCs w:val="14"/>
              </w:rPr>
              <w:t>*</w:t>
            </w:r>
            <w:r>
              <w:rPr>
                <w:rFonts w:ascii="Arial" w:hAnsi="Arial" w:cs="Arial"/>
                <w:sz w:val="14"/>
                <w:szCs w:val="14"/>
              </w:rPr>
              <w:tab/>
              <w:t>“Microsoft Cloud Revenue” and “Xbox Content &amp; Services Revenue Growth”, when used as PSA metrics in this Compensation Discussion and Analysis, are non-GAAP financial measures defined on page 47.</w:t>
            </w:r>
          </w:p>
          <w:p w14:paraId="103C8AD9" w14:textId="77777777" w:rsidR="00D246A9" w:rsidRDefault="00D246A9">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1055" w:type="dxa"/>
            <w:tcMar>
              <w:top w:w="0" w:type="dxa"/>
              <w:left w:w="144" w:type="dxa"/>
              <w:bottom w:w="0" w:type="dxa"/>
              <w:right w:w="0" w:type="dxa"/>
            </w:tcMar>
            <w:hideMark/>
          </w:tcPr>
          <w:p w14:paraId="7DA74E51" w14:textId="77777777" w:rsidR="00D246A9" w:rsidRDefault="00D246A9">
            <w:pPr>
              <w:pStyle w:val="la2"/>
              <w:rPr>
                <w:rFonts w:ascii="Arial" w:hAnsi="Arial" w:cs="Arial"/>
                <w:sz w:val="18"/>
                <w:szCs w:val="18"/>
              </w:rPr>
            </w:pPr>
            <w:r>
              <w:rPr>
                <w:rFonts w:ascii="Arial" w:hAnsi="Arial" w:cs="Arial"/>
                <w:sz w:val="18"/>
                <w:szCs w:val="18"/>
              </w:rPr>
              <w:t> </w:t>
            </w:r>
          </w:p>
        </w:tc>
      </w:tr>
    </w:tbl>
    <w:p w14:paraId="0BD5998C" w14:textId="77777777" w:rsidR="00D246A9" w:rsidRPr="00306F7C" w:rsidRDefault="00D246A9">
      <w:pPr>
        <w:pStyle w:val="NormalWeb"/>
        <w:spacing w:before="90" w:beforeAutospacing="0" w:after="0" w:afterAutospacing="0"/>
        <w:rPr>
          <w:sz w:val="2"/>
          <w:szCs w:val="2"/>
        </w:rPr>
      </w:pPr>
      <w:r>
        <w:rPr>
          <w:sz w:val="2"/>
          <w:szCs w:val="2"/>
        </w:rPr>
        <w:t> </w:t>
      </w:r>
    </w:p>
    <w:p w14:paraId="1C705672"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The fiscal year 2023 PSA metrics were used to establish performance goals for (</w:t>
      </w:r>
      <w:proofErr w:type="spellStart"/>
      <w:r>
        <w:rPr>
          <w:rFonts w:ascii="Arial" w:hAnsi="Arial" w:cs="Arial"/>
          <w:sz w:val="18"/>
          <w:szCs w:val="18"/>
        </w:rPr>
        <w:t>i</w:t>
      </w:r>
      <w:proofErr w:type="spellEnd"/>
      <w:r>
        <w:rPr>
          <w:rFonts w:ascii="Arial" w:hAnsi="Arial" w:cs="Arial"/>
          <w:sz w:val="18"/>
          <w:szCs w:val="18"/>
        </w:rPr>
        <w:t xml:space="preserve">) year 3 of the 2021 PSAs, (ii) year 2 of the 2022 PSAs, and (iii) year 1 of the 2023 PSAs, as shown below. </w:t>
      </w:r>
    </w:p>
    <w:p w14:paraId="5DD2DF26" w14:textId="46A9F675" w:rsidR="00D246A9" w:rsidRPr="00306F7C" w:rsidRDefault="007A169D" w:rsidP="007A169D">
      <w:pPr>
        <w:pStyle w:val="NormalWeb"/>
        <w:keepNext/>
        <w:spacing w:before="160" w:beforeAutospacing="0" w:after="160" w:afterAutospacing="0"/>
        <w:jc w:val="center"/>
        <w:rPr>
          <w:sz w:val="20"/>
          <w:szCs w:val="20"/>
        </w:rPr>
      </w:pPr>
      <w:r>
        <w:rPr>
          <w:rFonts w:ascii="Arial" w:hAnsi="Arial" w:cs="Arial"/>
          <w:b/>
          <w:bCs/>
        </w:rPr>
        <w:t>PSA Metric Year</w:t>
      </w:r>
    </w:p>
    <w:p w14:paraId="7DC7AA70" w14:textId="77777777" w:rsidR="00D246A9" w:rsidRDefault="00D246A9">
      <w:pPr>
        <w:pStyle w:val="NormalWeb"/>
        <w:keepNext/>
        <w:spacing w:before="0" w:beforeAutospacing="0" w:after="0" w:afterAutospacing="0"/>
        <w:rPr>
          <w:sz w:val="2"/>
          <w:szCs w:val="2"/>
        </w:rPr>
      </w:pPr>
      <w:r>
        <w:rPr>
          <w:sz w:val="2"/>
          <w:szCs w:val="2"/>
        </w:rPr>
        <w:t> </w:t>
      </w:r>
    </w:p>
    <w:p w14:paraId="6FE291A1" w14:textId="6500030D" w:rsidR="00D246A9" w:rsidRDefault="00D2791E">
      <w:pPr>
        <w:pStyle w:val="NormalWeb"/>
        <w:spacing w:before="0" w:beforeAutospacing="0" w:after="0" w:afterAutospacing="0"/>
        <w:jc w:val="center"/>
      </w:pPr>
      <w:r>
        <w:rPr>
          <w:noProof/>
        </w:rPr>
        <w:drawing>
          <wp:inline distT="0" distB="0" distL="0" distR="0" wp14:anchorId="4C820355" wp14:editId="6C10628B">
            <wp:extent cx="3566160" cy="2504918"/>
            <wp:effectExtent l="0" t="0" r="0" b="0"/>
            <wp:docPr id="209760561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05617" name="Picture 12">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3566160" cy="2504918"/>
                    </a:xfrm>
                    <a:prstGeom prst="rect">
                      <a:avLst/>
                    </a:prstGeom>
                  </pic:spPr>
                </pic:pic>
              </a:graphicData>
            </a:graphic>
          </wp:inline>
        </w:drawing>
      </w:r>
    </w:p>
    <w:p w14:paraId="61F9D2EF" w14:textId="77777777" w:rsidR="00D246A9" w:rsidRDefault="00D246A9">
      <w:pPr>
        <w:pStyle w:val="NormalWeb"/>
        <w:spacing w:before="240" w:beforeAutospacing="0" w:after="0" w:afterAutospacing="0"/>
        <w:rPr>
          <w:rFonts w:ascii="Arial" w:hAnsi="Arial" w:cs="Arial"/>
          <w:sz w:val="18"/>
          <w:szCs w:val="18"/>
        </w:rPr>
      </w:pPr>
      <w:r>
        <w:rPr>
          <w:rFonts w:ascii="Arial" w:hAnsi="Arial" w:cs="Arial"/>
          <w:sz w:val="18"/>
          <w:szCs w:val="18"/>
        </w:rPr>
        <w:t xml:space="preserve">Our fiscal year 2023 PSA metric results can be found on page 47. </w:t>
      </w:r>
    </w:p>
    <w:p w14:paraId="481E07FF" w14:textId="77777777" w:rsidR="00D246A9" w:rsidRDefault="00D246A9" w:rsidP="003B74F2">
      <w:pPr>
        <w:pStyle w:val="NormalWeb"/>
        <w:pageBreakBefore/>
        <w:spacing w:before="120" w:beforeAutospacing="0" w:after="0" w:afterAutospacing="0"/>
        <w:rPr>
          <w:rFonts w:ascii="Arial" w:hAnsi="Arial" w:cs="Arial"/>
          <w:sz w:val="18"/>
          <w:szCs w:val="18"/>
        </w:rPr>
      </w:pPr>
      <w:r>
        <w:rPr>
          <w:rFonts w:ascii="Arial" w:hAnsi="Arial" w:cs="Arial"/>
          <w:sz w:val="18"/>
          <w:szCs w:val="18"/>
        </w:rPr>
        <w:lastRenderedPageBreak/>
        <w:t xml:space="preserve">Results for the three years may be modified based on our Relative TSR percentile ranking as compared to the S&amp;P 500, as shown below. Microsoft’s absolute TSR must be positive for the modifier to increase the amounts of compensation earned above 100%. </w:t>
      </w:r>
    </w:p>
    <w:p w14:paraId="43258E10"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9676"/>
        <w:gridCol w:w="1124"/>
      </w:tblGrid>
      <w:tr w:rsidR="00D246A9" w14:paraId="37B1FB83" w14:textId="77777777" w:rsidTr="00FE0A0A">
        <w:trPr>
          <w:cantSplit/>
          <w:tblHeader/>
        </w:trPr>
        <w:tc>
          <w:tcPr>
            <w:tcW w:w="9676" w:type="dxa"/>
            <w:tcBorders>
              <w:bottom w:val="single" w:sz="8" w:space="0" w:color="000000"/>
            </w:tcBorders>
            <w:tcMar>
              <w:top w:w="0" w:type="dxa"/>
              <w:left w:w="0" w:type="dxa"/>
              <w:bottom w:w="40" w:type="dxa"/>
              <w:right w:w="0" w:type="dxa"/>
            </w:tcMar>
            <w:vAlign w:val="bottom"/>
            <w:hideMark/>
          </w:tcPr>
          <w:p w14:paraId="0D5FBC41"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3-year Relative TSR Ranking</w:t>
            </w:r>
            <w:r>
              <w:rPr>
                <w:rFonts w:ascii="Arial" w:hAnsi="Arial" w:cs="Arial"/>
                <w:b/>
                <w:bCs/>
                <w:sz w:val="14"/>
                <w:szCs w:val="14"/>
                <w:vertAlign w:val="superscript"/>
              </w:rPr>
              <w:t>1</w:t>
            </w:r>
          </w:p>
        </w:tc>
        <w:tc>
          <w:tcPr>
            <w:tcW w:w="1124" w:type="dxa"/>
            <w:tcBorders>
              <w:bottom w:val="single" w:sz="8" w:space="0" w:color="000000"/>
            </w:tcBorders>
            <w:tcMar>
              <w:top w:w="0" w:type="dxa"/>
              <w:left w:w="144" w:type="dxa"/>
              <w:bottom w:w="0" w:type="dxa"/>
              <w:right w:w="0" w:type="dxa"/>
            </w:tcMar>
            <w:vAlign w:val="bottom"/>
            <w:hideMark/>
          </w:tcPr>
          <w:p w14:paraId="2CC5B4B3" w14:textId="77777777" w:rsidR="00D246A9" w:rsidRDefault="00D246A9">
            <w:pPr>
              <w:jc w:val="right"/>
              <w:rPr>
                <w:rFonts w:ascii="Arial" w:hAnsi="Arial" w:cs="Arial"/>
                <w:sz w:val="18"/>
                <w:szCs w:val="18"/>
              </w:rPr>
            </w:pPr>
            <w:r>
              <w:rPr>
                <w:rFonts w:ascii="Arial" w:hAnsi="Arial" w:cs="Arial"/>
                <w:b/>
                <w:bCs/>
                <w:sz w:val="18"/>
                <w:szCs w:val="18"/>
              </w:rPr>
              <w:t>Modifier</w:t>
            </w:r>
          </w:p>
        </w:tc>
      </w:tr>
      <w:tr w:rsidR="00D246A9" w14:paraId="6F2721E7" w14:textId="77777777" w:rsidTr="00FE0A0A">
        <w:trPr>
          <w:cantSplit/>
        </w:trPr>
        <w:tc>
          <w:tcPr>
            <w:tcW w:w="9676" w:type="dxa"/>
            <w:tcBorders>
              <w:bottom w:val="single" w:sz="6" w:space="0" w:color="0075C9"/>
            </w:tcBorders>
            <w:tcMar>
              <w:top w:w="0" w:type="dxa"/>
              <w:left w:w="0" w:type="dxa"/>
              <w:bottom w:w="40" w:type="dxa"/>
              <w:right w:w="0" w:type="dxa"/>
            </w:tcMar>
            <w:hideMark/>
          </w:tcPr>
          <w:p w14:paraId="372DA1C7" w14:textId="77777777" w:rsidR="00D246A9" w:rsidRPr="00306F7C" w:rsidRDefault="00D246A9">
            <w:pPr>
              <w:pStyle w:val="NormalWeb"/>
              <w:keepNext/>
              <w:spacing w:before="0" w:beforeAutospacing="0" w:after="0" w:afterAutospacing="0"/>
              <w:ind w:left="96"/>
              <w:rPr>
                <w:rFonts w:ascii="Arial" w:hAnsi="Arial" w:cs="Arial"/>
                <w:sz w:val="20"/>
                <w:szCs w:val="20"/>
              </w:rPr>
            </w:pPr>
            <w:r>
              <w:rPr>
                <w:rFonts w:ascii="Arial" w:hAnsi="Arial" w:cs="Arial"/>
                <w:sz w:val="20"/>
                <w:szCs w:val="20"/>
              </w:rPr>
              <w:t>20</w:t>
            </w:r>
            <w:r>
              <w:rPr>
                <w:rFonts w:ascii="Arial" w:hAnsi="Arial" w:cs="Arial"/>
                <w:sz w:val="15"/>
                <w:szCs w:val="15"/>
                <w:vertAlign w:val="superscript"/>
              </w:rPr>
              <w:t>th</w:t>
            </w:r>
            <w:r>
              <w:rPr>
                <w:rFonts w:ascii="Arial" w:hAnsi="Arial" w:cs="Arial"/>
                <w:sz w:val="20"/>
                <w:szCs w:val="20"/>
              </w:rPr>
              <w:t xml:space="preserve"> Percentile &amp; Below</w:t>
            </w:r>
          </w:p>
        </w:tc>
        <w:tc>
          <w:tcPr>
            <w:tcW w:w="1124" w:type="dxa"/>
            <w:tcBorders>
              <w:bottom w:val="single" w:sz="6" w:space="0" w:color="0075C9"/>
            </w:tcBorders>
            <w:noWrap/>
            <w:tcMar>
              <w:top w:w="0" w:type="dxa"/>
              <w:left w:w="144" w:type="dxa"/>
              <w:bottom w:w="0" w:type="dxa"/>
              <w:right w:w="0" w:type="dxa"/>
            </w:tcMar>
            <w:vAlign w:val="bottom"/>
            <w:hideMark/>
          </w:tcPr>
          <w:p w14:paraId="6CA41E31" w14:textId="77777777" w:rsidR="00D246A9" w:rsidRDefault="00D246A9">
            <w:pPr>
              <w:pStyle w:val="NormalWeb"/>
              <w:tabs>
                <w:tab w:val="right" w:pos="940"/>
                <w:tab w:val="decimal" w:pos="980"/>
              </w:tabs>
              <w:spacing w:before="0" w:beforeAutospacing="0" w:after="20" w:afterAutospacing="0"/>
              <w:rPr>
                <w:rFonts w:ascii="Arial" w:hAnsi="Arial" w:cs="Arial"/>
                <w:sz w:val="20"/>
                <w:szCs w:val="20"/>
              </w:rPr>
            </w:pPr>
            <w:r>
              <w:rPr>
                <w:rFonts w:ascii="Arial" w:hAnsi="Arial" w:cs="Arial"/>
                <w:sz w:val="20"/>
                <w:szCs w:val="20"/>
              </w:rPr>
              <w:tab/>
              <w:t>75.00%</w:t>
            </w:r>
            <w:r>
              <w:rPr>
                <w:rFonts w:ascii="Arial" w:hAnsi="Arial" w:cs="Arial"/>
                <w:sz w:val="20"/>
                <w:szCs w:val="20"/>
              </w:rPr>
              <w:tab/>
            </w:r>
          </w:p>
        </w:tc>
      </w:tr>
      <w:tr w:rsidR="00D246A9" w14:paraId="26CC23AA" w14:textId="77777777" w:rsidTr="00FE0A0A">
        <w:trPr>
          <w:cantSplit/>
        </w:trPr>
        <w:tc>
          <w:tcPr>
            <w:tcW w:w="9676" w:type="dxa"/>
            <w:tcBorders>
              <w:bottom w:val="single" w:sz="6" w:space="0" w:color="0075C9"/>
            </w:tcBorders>
            <w:tcMar>
              <w:top w:w="0" w:type="dxa"/>
              <w:left w:w="0" w:type="dxa"/>
              <w:bottom w:w="40" w:type="dxa"/>
              <w:right w:w="0" w:type="dxa"/>
            </w:tcMar>
            <w:hideMark/>
          </w:tcPr>
          <w:p w14:paraId="3A9B4308" w14:textId="77777777" w:rsidR="00D246A9" w:rsidRPr="00306F7C" w:rsidRDefault="00D246A9">
            <w:pPr>
              <w:pStyle w:val="NormalWeb"/>
              <w:keepNext/>
              <w:spacing w:before="0" w:beforeAutospacing="0" w:after="0" w:afterAutospacing="0"/>
              <w:ind w:left="96"/>
              <w:rPr>
                <w:rFonts w:ascii="Arial" w:hAnsi="Arial" w:cs="Arial"/>
                <w:sz w:val="20"/>
                <w:szCs w:val="20"/>
              </w:rPr>
            </w:pPr>
            <w:r>
              <w:rPr>
                <w:rFonts w:ascii="Arial" w:hAnsi="Arial" w:cs="Arial"/>
                <w:sz w:val="20"/>
                <w:szCs w:val="20"/>
              </w:rPr>
              <w:t>30</w:t>
            </w:r>
            <w:r>
              <w:rPr>
                <w:rFonts w:ascii="Arial" w:hAnsi="Arial" w:cs="Arial"/>
                <w:sz w:val="15"/>
                <w:szCs w:val="15"/>
                <w:vertAlign w:val="superscript"/>
              </w:rPr>
              <w:t>th</w:t>
            </w:r>
            <w:r>
              <w:rPr>
                <w:rFonts w:ascii="Arial" w:hAnsi="Arial" w:cs="Arial"/>
                <w:sz w:val="20"/>
                <w:szCs w:val="20"/>
              </w:rPr>
              <w:t xml:space="preserve"> Percentile</w:t>
            </w:r>
          </w:p>
        </w:tc>
        <w:tc>
          <w:tcPr>
            <w:tcW w:w="1124" w:type="dxa"/>
            <w:tcBorders>
              <w:bottom w:val="single" w:sz="6" w:space="0" w:color="0075C9"/>
            </w:tcBorders>
            <w:noWrap/>
            <w:tcMar>
              <w:top w:w="0" w:type="dxa"/>
              <w:left w:w="144" w:type="dxa"/>
              <w:bottom w:w="0" w:type="dxa"/>
              <w:right w:w="0" w:type="dxa"/>
            </w:tcMar>
            <w:vAlign w:val="bottom"/>
            <w:hideMark/>
          </w:tcPr>
          <w:p w14:paraId="7167664A" w14:textId="77777777" w:rsidR="00D246A9" w:rsidRDefault="00D246A9">
            <w:pPr>
              <w:pStyle w:val="NormalWeb"/>
              <w:tabs>
                <w:tab w:val="right" w:pos="940"/>
                <w:tab w:val="decimal" w:pos="980"/>
              </w:tabs>
              <w:spacing w:before="0" w:beforeAutospacing="0" w:after="20" w:afterAutospacing="0"/>
              <w:rPr>
                <w:rFonts w:ascii="Arial" w:hAnsi="Arial" w:cs="Arial"/>
                <w:sz w:val="20"/>
                <w:szCs w:val="20"/>
              </w:rPr>
            </w:pPr>
            <w:r>
              <w:rPr>
                <w:rFonts w:ascii="Arial" w:hAnsi="Arial" w:cs="Arial"/>
                <w:sz w:val="20"/>
                <w:szCs w:val="20"/>
              </w:rPr>
              <w:tab/>
              <w:t>87.50%</w:t>
            </w:r>
            <w:r>
              <w:rPr>
                <w:rFonts w:ascii="Arial" w:hAnsi="Arial" w:cs="Arial"/>
                <w:sz w:val="20"/>
                <w:szCs w:val="20"/>
              </w:rPr>
              <w:tab/>
            </w:r>
          </w:p>
        </w:tc>
      </w:tr>
      <w:tr w:rsidR="00D246A9" w14:paraId="426D4162" w14:textId="77777777" w:rsidTr="00FE0A0A">
        <w:trPr>
          <w:cantSplit/>
        </w:trPr>
        <w:tc>
          <w:tcPr>
            <w:tcW w:w="9676" w:type="dxa"/>
            <w:tcBorders>
              <w:bottom w:val="single" w:sz="6" w:space="0" w:color="0075C9"/>
            </w:tcBorders>
            <w:tcMar>
              <w:top w:w="0" w:type="dxa"/>
              <w:left w:w="0" w:type="dxa"/>
              <w:bottom w:w="40" w:type="dxa"/>
              <w:right w:w="0" w:type="dxa"/>
            </w:tcMar>
            <w:hideMark/>
          </w:tcPr>
          <w:p w14:paraId="2FBA7F43"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sz w:val="20"/>
                <w:szCs w:val="20"/>
              </w:rPr>
              <w:t>40</w:t>
            </w:r>
            <w:r>
              <w:rPr>
                <w:rFonts w:ascii="Arial" w:hAnsi="Arial" w:cs="Arial"/>
                <w:sz w:val="15"/>
                <w:szCs w:val="15"/>
                <w:vertAlign w:val="superscript"/>
              </w:rPr>
              <w:t>th</w:t>
            </w:r>
            <w:r>
              <w:rPr>
                <w:rFonts w:ascii="Arial" w:hAnsi="Arial" w:cs="Arial"/>
                <w:sz w:val="20"/>
                <w:szCs w:val="20"/>
              </w:rPr>
              <w:t xml:space="preserve"> to 60</w:t>
            </w:r>
            <w:r>
              <w:rPr>
                <w:rFonts w:ascii="Arial" w:hAnsi="Arial" w:cs="Arial"/>
                <w:sz w:val="15"/>
                <w:szCs w:val="15"/>
                <w:vertAlign w:val="superscript"/>
              </w:rPr>
              <w:t>th</w:t>
            </w:r>
            <w:r>
              <w:rPr>
                <w:rFonts w:ascii="Arial" w:hAnsi="Arial" w:cs="Arial"/>
                <w:sz w:val="20"/>
                <w:szCs w:val="20"/>
              </w:rPr>
              <w:t xml:space="preserve"> Percentile</w:t>
            </w:r>
          </w:p>
        </w:tc>
        <w:tc>
          <w:tcPr>
            <w:tcW w:w="1124" w:type="dxa"/>
            <w:tcBorders>
              <w:bottom w:val="single" w:sz="6" w:space="0" w:color="0075C9"/>
            </w:tcBorders>
            <w:noWrap/>
            <w:tcMar>
              <w:top w:w="0" w:type="dxa"/>
              <w:left w:w="144" w:type="dxa"/>
              <w:bottom w:w="0" w:type="dxa"/>
              <w:right w:w="0" w:type="dxa"/>
            </w:tcMar>
            <w:vAlign w:val="bottom"/>
            <w:hideMark/>
          </w:tcPr>
          <w:p w14:paraId="20B1072E" w14:textId="77777777" w:rsidR="00D246A9" w:rsidRDefault="00D246A9">
            <w:pPr>
              <w:pStyle w:val="NormalWeb"/>
              <w:tabs>
                <w:tab w:val="right" w:pos="940"/>
                <w:tab w:val="decimal" w:pos="980"/>
              </w:tabs>
              <w:spacing w:before="0" w:beforeAutospacing="0" w:after="20" w:afterAutospacing="0"/>
              <w:rPr>
                <w:rFonts w:ascii="Arial" w:hAnsi="Arial" w:cs="Arial"/>
                <w:sz w:val="20"/>
                <w:szCs w:val="20"/>
              </w:rPr>
            </w:pPr>
            <w:r>
              <w:rPr>
                <w:rFonts w:ascii="Arial" w:hAnsi="Arial" w:cs="Arial"/>
                <w:sz w:val="20"/>
                <w:szCs w:val="20"/>
              </w:rPr>
              <w:tab/>
              <w:t>100.00%</w:t>
            </w:r>
            <w:r>
              <w:rPr>
                <w:rFonts w:ascii="Arial" w:hAnsi="Arial" w:cs="Arial"/>
                <w:sz w:val="20"/>
                <w:szCs w:val="20"/>
              </w:rPr>
              <w:tab/>
            </w:r>
          </w:p>
        </w:tc>
      </w:tr>
      <w:tr w:rsidR="00D246A9" w14:paraId="1EACF62E" w14:textId="77777777" w:rsidTr="00FE0A0A">
        <w:trPr>
          <w:cantSplit/>
        </w:trPr>
        <w:tc>
          <w:tcPr>
            <w:tcW w:w="9676" w:type="dxa"/>
            <w:tcBorders>
              <w:bottom w:val="single" w:sz="6" w:space="0" w:color="0075C9"/>
            </w:tcBorders>
            <w:tcMar>
              <w:top w:w="0" w:type="dxa"/>
              <w:left w:w="0" w:type="dxa"/>
              <w:bottom w:w="40" w:type="dxa"/>
              <w:right w:w="0" w:type="dxa"/>
            </w:tcMar>
            <w:hideMark/>
          </w:tcPr>
          <w:p w14:paraId="31C96297"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sz w:val="20"/>
                <w:szCs w:val="20"/>
              </w:rPr>
              <w:t>70</w:t>
            </w:r>
            <w:r>
              <w:rPr>
                <w:rFonts w:ascii="Arial" w:hAnsi="Arial" w:cs="Arial"/>
                <w:sz w:val="15"/>
                <w:szCs w:val="15"/>
                <w:vertAlign w:val="superscript"/>
              </w:rPr>
              <w:t>th</w:t>
            </w:r>
            <w:r>
              <w:rPr>
                <w:rFonts w:ascii="Arial" w:hAnsi="Arial" w:cs="Arial"/>
                <w:sz w:val="20"/>
                <w:szCs w:val="20"/>
              </w:rPr>
              <w:t xml:space="preserve"> Percentile</w:t>
            </w:r>
          </w:p>
        </w:tc>
        <w:tc>
          <w:tcPr>
            <w:tcW w:w="1124" w:type="dxa"/>
            <w:tcBorders>
              <w:bottom w:val="single" w:sz="6" w:space="0" w:color="0075C9"/>
            </w:tcBorders>
            <w:noWrap/>
            <w:tcMar>
              <w:top w:w="0" w:type="dxa"/>
              <w:left w:w="144" w:type="dxa"/>
              <w:bottom w:w="0" w:type="dxa"/>
              <w:right w:w="0" w:type="dxa"/>
            </w:tcMar>
            <w:vAlign w:val="bottom"/>
            <w:hideMark/>
          </w:tcPr>
          <w:p w14:paraId="15D81BBE" w14:textId="77777777" w:rsidR="00D246A9" w:rsidRDefault="00D246A9">
            <w:pPr>
              <w:pStyle w:val="NormalWeb"/>
              <w:tabs>
                <w:tab w:val="right" w:pos="940"/>
                <w:tab w:val="decimal" w:pos="980"/>
              </w:tabs>
              <w:spacing w:before="0" w:beforeAutospacing="0" w:after="20" w:afterAutospacing="0"/>
              <w:rPr>
                <w:rFonts w:ascii="Arial" w:hAnsi="Arial" w:cs="Arial"/>
                <w:sz w:val="20"/>
                <w:szCs w:val="20"/>
              </w:rPr>
            </w:pPr>
            <w:r>
              <w:rPr>
                <w:rFonts w:ascii="Arial" w:hAnsi="Arial" w:cs="Arial"/>
                <w:sz w:val="20"/>
                <w:szCs w:val="20"/>
              </w:rPr>
              <w:tab/>
              <w:t>125.00%</w:t>
            </w:r>
            <w:r>
              <w:rPr>
                <w:rFonts w:ascii="Arial" w:hAnsi="Arial" w:cs="Arial"/>
                <w:sz w:val="20"/>
                <w:szCs w:val="20"/>
              </w:rPr>
              <w:tab/>
            </w:r>
          </w:p>
        </w:tc>
      </w:tr>
      <w:tr w:rsidR="00D246A9" w14:paraId="446CACED" w14:textId="77777777" w:rsidTr="00FE0A0A">
        <w:trPr>
          <w:cantSplit/>
        </w:trPr>
        <w:tc>
          <w:tcPr>
            <w:tcW w:w="9676" w:type="dxa"/>
            <w:tcBorders>
              <w:bottom w:val="single" w:sz="6" w:space="0" w:color="0075C9"/>
            </w:tcBorders>
            <w:tcMar>
              <w:top w:w="0" w:type="dxa"/>
              <w:left w:w="0" w:type="dxa"/>
              <w:bottom w:w="40" w:type="dxa"/>
              <w:right w:w="0" w:type="dxa"/>
            </w:tcMar>
            <w:hideMark/>
          </w:tcPr>
          <w:p w14:paraId="1E2826BE"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sz w:val="20"/>
                <w:szCs w:val="20"/>
              </w:rPr>
              <w:t>80</w:t>
            </w:r>
            <w:r>
              <w:rPr>
                <w:rFonts w:ascii="Arial" w:hAnsi="Arial" w:cs="Arial"/>
                <w:sz w:val="15"/>
                <w:szCs w:val="15"/>
                <w:vertAlign w:val="superscript"/>
              </w:rPr>
              <w:t>th</w:t>
            </w:r>
            <w:r>
              <w:rPr>
                <w:rFonts w:ascii="Arial" w:hAnsi="Arial" w:cs="Arial"/>
                <w:sz w:val="20"/>
                <w:szCs w:val="20"/>
              </w:rPr>
              <w:t xml:space="preserve"> Percentile &amp; Above</w:t>
            </w:r>
          </w:p>
        </w:tc>
        <w:tc>
          <w:tcPr>
            <w:tcW w:w="1124" w:type="dxa"/>
            <w:tcBorders>
              <w:bottom w:val="single" w:sz="6" w:space="0" w:color="0075C9"/>
            </w:tcBorders>
            <w:noWrap/>
            <w:tcMar>
              <w:top w:w="0" w:type="dxa"/>
              <w:left w:w="144" w:type="dxa"/>
              <w:bottom w:w="0" w:type="dxa"/>
              <w:right w:w="0" w:type="dxa"/>
            </w:tcMar>
            <w:vAlign w:val="bottom"/>
            <w:hideMark/>
          </w:tcPr>
          <w:p w14:paraId="05631015" w14:textId="77777777" w:rsidR="00D246A9" w:rsidRDefault="00D246A9">
            <w:pPr>
              <w:pStyle w:val="NormalWeb"/>
              <w:tabs>
                <w:tab w:val="right" w:pos="940"/>
                <w:tab w:val="decimal" w:pos="980"/>
              </w:tabs>
              <w:spacing w:before="0" w:beforeAutospacing="0" w:after="20" w:afterAutospacing="0"/>
              <w:rPr>
                <w:rFonts w:ascii="Arial" w:hAnsi="Arial" w:cs="Arial"/>
                <w:sz w:val="20"/>
                <w:szCs w:val="20"/>
              </w:rPr>
            </w:pPr>
            <w:r>
              <w:rPr>
                <w:rFonts w:ascii="Arial" w:hAnsi="Arial" w:cs="Arial"/>
                <w:sz w:val="20"/>
                <w:szCs w:val="20"/>
              </w:rPr>
              <w:tab/>
              <w:t>150.00%</w:t>
            </w:r>
            <w:r>
              <w:rPr>
                <w:rFonts w:ascii="Arial" w:hAnsi="Arial" w:cs="Arial"/>
                <w:sz w:val="20"/>
                <w:szCs w:val="20"/>
              </w:rPr>
              <w:tab/>
            </w:r>
          </w:p>
        </w:tc>
      </w:tr>
    </w:tbl>
    <w:p w14:paraId="1832DBE3"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Relative TSR percentile ranking as compared to the S&amp;P 500 results in the above payout modifiers </w:t>
      </w:r>
    </w:p>
    <w:p w14:paraId="722A5A7E" w14:textId="77777777" w:rsidR="00D246A9" w:rsidRDefault="00D246A9" w:rsidP="00212B0B">
      <w:pPr>
        <w:pStyle w:val="Heading5"/>
      </w:pPr>
      <w:r>
        <w:t xml:space="preserve">Stock Awards </w:t>
      </w:r>
    </w:p>
    <w:p w14:paraId="5DDE9B7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Stock awards were granted under the Incentive Plan in September 2022 for shares of Microsoft common stock to Named Executives other than Mr. Nadella. These stock awards </w:t>
      </w:r>
      <w:proofErr w:type="gramStart"/>
      <w:r>
        <w:rPr>
          <w:rFonts w:ascii="Arial" w:hAnsi="Arial" w:cs="Arial"/>
          <w:sz w:val="18"/>
          <w:szCs w:val="18"/>
        </w:rPr>
        <w:t>vest</w:t>
      </w:r>
      <w:proofErr w:type="gramEnd"/>
      <w:r>
        <w:rPr>
          <w:rFonts w:ascii="Arial" w:hAnsi="Arial" w:cs="Arial"/>
          <w:sz w:val="18"/>
          <w:szCs w:val="18"/>
        </w:rPr>
        <w:t xml:space="preserve"> over four years, with 25% vesting on August 31, 2023 and 12.5% each six-months thereafter, to support long-term focus and align with shareholders’ interests as the value of such awards is dependent on our stock price and vesting is subject to continued employment except as described on pages 48-49 below. </w:t>
      </w:r>
    </w:p>
    <w:p w14:paraId="3FFF22A3" w14:textId="77777777" w:rsidR="00D246A9" w:rsidRDefault="00D246A9" w:rsidP="006309E1">
      <w:pPr>
        <w:pStyle w:val="Heading4"/>
      </w:pPr>
      <w:r>
        <w:t xml:space="preserve">No Other Fiscal Year 2023 Compensation </w:t>
      </w:r>
    </w:p>
    <w:p w14:paraId="39E08B1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During fiscal year 2023, the Compensation Committee and independent members of our Board awarded no other compensation to our Named Executives. </w:t>
      </w:r>
    </w:p>
    <w:p w14:paraId="76452DA6" w14:textId="77777777" w:rsidR="00D246A9" w:rsidRDefault="00D246A9">
      <w:pPr>
        <w:pStyle w:val="NormalWeb"/>
        <w:spacing w:before="360" w:beforeAutospacing="0" w:after="0" w:afterAutospacing="0"/>
        <w:rPr>
          <w:sz w:val="2"/>
          <w:szCs w:val="2"/>
        </w:rPr>
      </w:pPr>
      <w:r>
        <w:rPr>
          <w:sz w:val="2"/>
          <w:szCs w:val="2"/>
        </w:rPr>
        <w:t> </w:t>
      </w:r>
    </w:p>
    <w:p w14:paraId="56F524E7" w14:textId="77777777" w:rsidR="00D246A9" w:rsidRDefault="00D246A9">
      <w:pPr>
        <w:pStyle w:val="rrdsinglerule"/>
        <w:pBdr>
          <w:top w:val="single" w:sz="6" w:space="0" w:color="0075C9"/>
        </w:pBdr>
        <w:spacing w:before="0"/>
        <w:rPr>
          <w:sz w:val="24"/>
          <w:szCs w:val="24"/>
        </w:rPr>
      </w:pPr>
      <w:r>
        <w:t> </w:t>
      </w:r>
    </w:p>
    <w:p w14:paraId="15958577" w14:textId="77777777" w:rsidR="00D246A9" w:rsidRDefault="00D246A9" w:rsidP="00B4165A">
      <w:pPr>
        <w:pStyle w:val="Heading3"/>
      </w:pPr>
      <w:bookmarkStart w:id="13" w:name="toc356108_14"/>
      <w:bookmarkEnd w:id="13"/>
      <w:r>
        <w:t xml:space="preserve">Section 5 – Fiscal Year 2023 Compensation Decisions and Results </w:t>
      </w:r>
    </w:p>
    <w:p w14:paraId="242DEE04"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Named Executives were awarded the following compensation in fiscal year 2023: </w:t>
      </w:r>
    </w:p>
    <w:p w14:paraId="1110C362" w14:textId="77777777" w:rsidR="00D246A9" w:rsidRDefault="00D246A9" w:rsidP="006309E1">
      <w:pPr>
        <w:pStyle w:val="Heading4"/>
      </w:pPr>
      <w:r>
        <w:t xml:space="preserve">Fiscal Year 2023 Base Salaries </w:t>
      </w:r>
    </w:p>
    <w:p w14:paraId="4B24355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As part of the annual review of target compensation opportunities, our Compensation Committee and, for Mr. Nadella, the independent members of our Board, reviewed the base salaries of our Named Executives in September 2022. The independent members of our Board did not increase the base salary of Mr. Nadella, which it continued to believe was reasonable and appropriate given his role, capabilities, and experience, as well as the Company’s relative scale and performance. Our Compensation Committee also did not increase the base salaries of any of the NEOs based on a competitive market review. </w:t>
      </w:r>
    </w:p>
    <w:p w14:paraId="471FCB16" w14:textId="77777777" w:rsidR="00D246A9" w:rsidRDefault="00D246A9" w:rsidP="006309E1">
      <w:pPr>
        <w:pStyle w:val="Heading4"/>
      </w:pPr>
      <w:r>
        <w:t xml:space="preserve">Fiscal Year 2023 Cash Incentive Awards </w:t>
      </w:r>
    </w:p>
    <w:p w14:paraId="29BEDB7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did not increase our target cash incentive opportunities in fiscal year 2023 as a percentage of base salary for the same reasons that we did not increase base salaries. For fiscal year 2023, these opportunities were: Mr. Nadella – 300%; Ms. Hood – 250%; Mr. Althoff – 250%; Mr. Smith – 250%; and Mr. Young – 200%. </w:t>
      </w:r>
    </w:p>
    <w:p w14:paraId="19F6413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and, for Mr. Nadella, the independent members of our Board, determined the fiscal year 2023 cash incentive awards. These were based on two performance categories: financial results and operational performance results. </w:t>
      </w:r>
    </w:p>
    <w:p w14:paraId="1730C4C8"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Final results under each portion of the cash incentive, and the resulting awards, were as follows: </w:t>
      </w:r>
    </w:p>
    <w:p w14:paraId="44F9F26A"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980"/>
        <w:gridCol w:w="1124"/>
        <w:gridCol w:w="1124"/>
        <w:gridCol w:w="1124"/>
        <w:gridCol w:w="1124"/>
        <w:gridCol w:w="1324"/>
      </w:tblGrid>
      <w:tr w:rsidR="008F6E69" w14:paraId="06BA7514" w14:textId="77777777" w:rsidTr="00B83ADB">
        <w:trPr>
          <w:cantSplit/>
          <w:tblHeader/>
        </w:trPr>
        <w:tc>
          <w:tcPr>
            <w:tcW w:w="6104" w:type="dxa"/>
            <w:gridSpan w:val="2"/>
            <w:tcBorders>
              <w:bottom w:val="single" w:sz="8" w:space="0" w:color="000000"/>
            </w:tcBorders>
            <w:tcMar>
              <w:top w:w="0" w:type="dxa"/>
              <w:left w:w="0" w:type="dxa"/>
              <w:bottom w:w="40" w:type="dxa"/>
              <w:right w:w="0" w:type="dxa"/>
            </w:tcMar>
            <w:vAlign w:val="bottom"/>
            <w:hideMark/>
          </w:tcPr>
          <w:p w14:paraId="33A9D947" w14:textId="77777777" w:rsidR="008F6E69" w:rsidRDefault="008F6E69">
            <w:pPr>
              <w:jc w:val="right"/>
              <w:rPr>
                <w:rFonts w:ascii="Arial" w:hAnsi="Arial" w:cs="Arial"/>
                <w:sz w:val="18"/>
                <w:szCs w:val="18"/>
              </w:rPr>
            </w:pPr>
            <w:r>
              <w:rPr>
                <w:rFonts w:ascii="Arial" w:hAnsi="Arial" w:cs="Arial"/>
                <w:b/>
                <w:bCs/>
                <w:sz w:val="18"/>
                <w:szCs w:val="18"/>
              </w:rPr>
              <w:t>Nadella</w:t>
            </w:r>
          </w:p>
        </w:tc>
        <w:tc>
          <w:tcPr>
            <w:tcW w:w="1124" w:type="dxa"/>
            <w:tcBorders>
              <w:bottom w:val="single" w:sz="8" w:space="0" w:color="000000"/>
            </w:tcBorders>
            <w:tcMar>
              <w:top w:w="0" w:type="dxa"/>
              <w:left w:w="144" w:type="dxa"/>
              <w:bottom w:w="0" w:type="dxa"/>
              <w:right w:w="0" w:type="dxa"/>
            </w:tcMar>
            <w:vAlign w:val="bottom"/>
            <w:hideMark/>
          </w:tcPr>
          <w:p w14:paraId="16015449" w14:textId="77777777" w:rsidR="008F6E69" w:rsidRDefault="008F6E69">
            <w:pPr>
              <w:jc w:val="right"/>
              <w:rPr>
                <w:rFonts w:ascii="Arial" w:hAnsi="Arial" w:cs="Arial"/>
                <w:sz w:val="18"/>
                <w:szCs w:val="18"/>
              </w:rPr>
            </w:pPr>
            <w:r>
              <w:rPr>
                <w:rFonts w:ascii="Arial" w:hAnsi="Arial" w:cs="Arial"/>
                <w:b/>
                <w:bCs/>
                <w:sz w:val="18"/>
                <w:szCs w:val="18"/>
              </w:rPr>
              <w:t>Hood</w:t>
            </w:r>
          </w:p>
        </w:tc>
        <w:tc>
          <w:tcPr>
            <w:tcW w:w="1124" w:type="dxa"/>
            <w:tcBorders>
              <w:bottom w:val="single" w:sz="8" w:space="0" w:color="000000"/>
            </w:tcBorders>
            <w:tcMar>
              <w:top w:w="0" w:type="dxa"/>
              <w:left w:w="144" w:type="dxa"/>
              <w:bottom w:w="0" w:type="dxa"/>
              <w:right w:w="0" w:type="dxa"/>
            </w:tcMar>
            <w:vAlign w:val="bottom"/>
            <w:hideMark/>
          </w:tcPr>
          <w:p w14:paraId="4C0B1FAE" w14:textId="77777777" w:rsidR="008F6E69" w:rsidRDefault="008F6E69">
            <w:pPr>
              <w:jc w:val="right"/>
              <w:rPr>
                <w:rFonts w:ascii="Arial" w:hAnsi="Arial" w:cs="Arial"/>
                <w:sz w:val="18"/>
                <w:szCs w:val="18"/>
              </w:rPr>
            </w:pPr>
            <w:r>
              <w:rPr>
                <w:rFonts w:ascii="Arial" w:hAnsi="Arial" w:cs="Arial"/>
                <w:b/>
                <w:bCs/>
                <w:sz w:val="18"/>
                <w:szCs w:val="18"/>
              </w:rPr>
              <w:t>Althoff</w:t>
            </w:r>
          </w:p>
        </w:tc>
        <w:tc>
          <w:tcPr>
            <w:tcW w:w="1124" w:type="dxa"/>
            <w:tcBorders>
              <w:bottom w:val="single" w:sz="8" w:space="0" w:color="000000"/>
            </w:tcBorders>
            <w:tcMar>
              <w:top w:w="0" w:type="dxa"/>
              <w:left w:w="144" w:type="dxa"/>
              <w:bottom w:w="0" w:type="dxa"/>
              <w:right w:w="0" w:type="dxa"/>
            </w:tcMar>
            <w:vAlign w:val="bottom"/>
            <w:hideMark/>
          </w:tcPr>
          <w:p w14:paraId="61CB21A9" w14:textId="77777777" w:rsidR="008F6E69" w:rsidRDefault="008F6E69">
            <w:pPr>
              <w:jc w:val="right"/>
              <w:rPr>
                <w:rFonts w:ascii="Arial" w:hAnsi="Arial" w:cs="Arial"/>
                <w:sz w:val="18"/>
                <w:szCs w:val="18"/>
              </w:rPr>
            </w:pPr>
            <w:r>
              <w:rPr>
                <w:rFonts w:ascii="Arial" w:hAnsi="Arial" w:cs="Arial"/>
                <w:b/>
                <w:bCs/>
                <w:sz w:val="18"/>
                <w:szCs w:val="18"/>
              </w:rPr>
              <w:t>Smith</w:t>
            </w:r>
          </w:p>
        </w:tc>
        <w:tc>
          <w:tcPr>
            <w:tcW w:w="1324" w:type="dxa"/>
            <w:tcBorders>
              <w:bottom w:val="single" w:sz="8" w:space="0" w:color="000000"/>
            </w:tcBorders>
            <w:tcMar>
              <w:top w:w="0" w:type="dxa"/>
              <w:left w:w="144" w:type="dxa"/>
              <w:bottom w:w="0" w:type="dxa"/>
              <w:right w:w="0" w:type="dxa"/>
            </w:tcMar>
            <w:vAlign w:val="bottom"/>
            <w:hideMark/>
          </w:tcPr>
          <w:p w14:paraId="48D74D3A" w14:textId="77777777" w:rsidR="008F6E69" w:rsidRDefault="008F6E69">
            <w:pPr>
              <w:jc w:val="right"/>
              <w:rPr>
                <w:rFonts w:ascii="Arial" w:hAnsi="Arial" w:cs="Arial"/>
                <w:sz w:val="18"/>
                <w:szCs w:val="18"/>
              </w:rPr>
            </w:pPr>
            <w:r>
              <w:rPr>
                <w:rFonts w:ascii="Arial" w:hAnsi="Arial" w:cs="Arial"/>
                <w:b/>
                <w:bCs/>
                <w:sz w:val="18"/>
                <w:szCs w:val="18"/>
              </w:rPr>
              <w:t>Young</w:t>
            </w:r>
          </w:p>
        </w:tc>
      </w:tr>
      <w:tr w:rsidR="00D246A9" w14:paraId="3F4A2672" w14:textId="77777777" w:rsidTr="00FE0A0A">
        <w:trPr>
          <w:cantSplit/>
        </w:trPr>
        <w:tc>
          <w:tcPr>
            <w:tcW w:w="4980" w:type="dxa"/>
            <w:tcBorders>
              <w:bottom w:val="single" w:sz="6" w:space="0" w:color="0075C9"/>
            </w:tcBorders>
            <w:tcMar>
              <w:top w:w="0" w:type="dxa"/>
              <w:left w:w="0" w:type="dxa"/>
              <w:bottom w:w="40" w:type="dxa"/>
              <w:right w:w="0" w:type="dxa"/>
            </w:tcMar>
            <w:hideMark/>
          </w:tcPr>
          <w:p w14:paraId="510D44BA"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Financial results (70% CEO / 50% other NEOs)</w:t>
            </w:r>
          </w:p>
        </w:tc>
        <w:tc>
          <w:tcPr>
            <w:tcW w:w="1124" w:type="dxa"/>
            <w:tcBorders>
              <w:bottom w:val="single" w:sz="6" w:space="0" w:color="0075C9"/>
            </w:tcBorders>
            <w:noWrap/>
            <w:tcMar>
              <w:top w:w="0" w:type="dxa"/>
              <w:left w:w="144" w:type="dxa"/>
              <w:bottom w:w="0" w:type="dxa"/>
              <w:right w:w="0" w:type="dxa"/>
            </w:tcMar>
            <w:vAlign w:val="bottom"/>
            <w:hideMark/>
          </w:tcPr>
          <w:p w14:paraId="05127522"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63.61%</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3024397F"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63.61%</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78BE940D"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63.61%</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4242AB89"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63.61%</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vAlign w:val="bottom"/>
            <w:hideMark/>
          </w:tcPr>
          <w:p w14:paraId="12BB8781"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63.61%</w:t>
            </w:r>
            <w:r>
              <w:rPr>
                <w:rFonts w:ascii="Arial" w:hAnsi="Arial" w:cs="Arial"/>
                <w:sz w:val="18"/>
                <w:szCs w:val="18"/>
              </w:rPr>
              <w:tab/>
            </w:r>
          </w:p>
        </w:tc>
      </w:tr>
      <w:tr w:rsidR="00D246A9" w14:paraId="2CCA3F04" w14:textId="77777777" w:rsidTr="00FE0A0A">
        <w:trPr>
          <w:cantSplit/>
        </w:trPr>
        <w:tc>
          <w:tcPr>
            <w:tcW w:w="4980" w:type="dxa"/>
            <w:tcBorders>
              <w:bottom w:val="single" w:sz="6" w:space="0" w:color="0075C9"/>
            </w:tcBorders>
            <w:tcMar>
              <w:top w:w="0" w:type="dxa"/>
              <w:left w:w="0" w:type="dxa"/>
              <w:bottom w:w="40" w:type="dxa"/>
              <w:right w:w="0" w:type="dxa"/>
            </w:tcMar>
            <w:hideMark/>
          </w:tcPr>
          <w:p w14:paraId="3100A67A"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Operational results (30% CEO / 50% other NEOs)</w:t>
            </w:r>
          </w:p>
        </w:tc>
        <w:tc>
          <w:tcPr>
            <w:tcW w:w="1124" w:type="dxa"/>
            <w:tcBorders>
              <w:bottom w:val="single" w:sz="6" w:space="0" w:color="0075C9"/>
            </w:tcBorders>
            <w:noWrap/>
            <w:tcMar>
              <w:top w:w="0" w:type="dxa"/>
              <w:left w:w="144" w:type="dxa"/>
              <w:bottom w:w="0" w:type="dxa"/>
              <w:right w:w="0" w:type="dxa"/>
            </w:tcMar>
            <w:vAlign w:val="bottom"/>
            <w:hideMark/>
          </w:tcPr>
          <w:p w14:paraId="00FF6B98"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136.67%</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61CF4E74"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120.00%</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6901A6BC"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123.34%</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7F66637E"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126.67%</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vAlign w:val="bottom"/>
            <w:hideMark/>
          </w:tcPr>
          <w:p w14:paraId="1603D9E1"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106.66%</w:t>
            </w:r>
            <w:r>
              <w:rPr>
                <w:rFonts w:ascii="Arial" w:hAnsi="Arial" w:cs="Arial"/>
                <w:sz w:val="18"/>
                <w:szCs w:val="18"/>
              </w:rPr>
              <w:tab/>
            </w:r>
          </w:p>
        </w:tc>
      </w:tr>
      <w:tr w:rsidR="00D246A9" w14:paraId="1B16F4C2" w14:textId="77777777" w:rsidTr="00FE0A0A">
        <w:trPr>
          <w:cantSplit/>
        </w:trPr>
        <w:tc>
          <w:tcPr>
            <w:tcW w:w="4980" w:type="dxa"/>
            <w:tcBorders>
              <w:bottom w:val="single" w:sz="6" w:space="0" w:color="0075C9"/>
            </w:tcBorders>
            <w:tcMar>
              <w:top w:w="0" w:type="dxa"/>
              <w:left w:w="0" w:type="dxa"/>
              <w:bottom w:w="40" w:type="dxa"/>
              <w:right w:w="0" w:type="dxa"/>
            </w:tcMar>
            <w:hideMark/>
          </w:tcPr>
          <w:p w14:paraId="124BE5E7"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Total FY23 cash incentive (% of target)</w:t>
            </w:r>
          </w:p>
        </w:tc>
        <w:tc>
          <w:tcPr>
            <w:tcW w:w="1124" w:type="dxa"/>
            <w:tcBorders>
              <w:bottom w:val="single" w:sz="6" w:space="0" w:color="0075C9"/>
            </w:tcBorders>
            <w:noWrap/>
            <w:tcMar>
              <w:top w:w="0" w:type="dxa"/>
              <w:left w:w="144" w:type="dxa"/>
              <w:bottom w:w="0" w:type="dxa"/>
              <w:right w:w="0" w:type="dxa"/>
            </w:tcMar>
            <w:vAlign w:val="bottom"/>
            <w:hideMark/>
          </w:tcPr>
          <w:p w14:paraId="04BF9A3A"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85.53%</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458C453D"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91.81%</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31490868"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93.48%</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59D4500D"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95.14%</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vAlign w:val="bottom"/>
            <w:hideMark/>
          </w:tcPr>
          <w:p w14:paraId="410FED7F"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85.14%</w:t>
            </w:r>
            <w:r>
              <w:rPr>
                <w:rFonts w:ascii="Arial" w:hAnsi="Arial" w:cs="Arial"/>
                <w:sz w:val="18"/>
                <w:szCs w:val="18"/>
              </w:rPr>
              <w:tab/>
            </w:r>
          </w:p>
        </w:tc>
      </w:tr>
      <w:tr w:rsidR="00D246A9" w14:paraId="4BE17C34" w14:textId="77777777" w:rsidTr="00FE0A0A">
        <w:trPr>
          <w:cantSplit/>
        </w:trPr>
        <w:tc>
          <w:tcPr>
            <w:tcW w:w="4980" w:type="dxa"/>
            <w:tcBorders>
              <w:bottom w:val="single" w:sz="6" w:space="0" w:color="0075C9"/>
            </w:tcBorders>
            <w:tcMar>
              <w:top w:w="0" w:type="dxa"/>
              <w:left w:w="0" w:type="dxa"/>
              <w:bottom w:w="40" w:type="dxa"/>
              <w:right w:w="0" w:type="dxa"/>
            </w:tcMar>
            <w:hideMark/>
          </w:tcPr>
          <w:p w14:paraId="02ADE1CE"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Total FY23 cash incentive ($)</w:t>
            </w:r>
          </w:p>
        </w:tc>
        <w:tc>
          <w:tcPr>
            <w:tcW w:w="1124" w:type="dxa"/>
            <w:tcBorders>
              <w:bottom w:val="single" w:sz="6" w:space="0" w:color="0075C9"/>
            </w:tcBorders>
            <w:noWrap/>
            <w:tcMar>
              <w:top w:w="0" w:type="dxa"/>
              <w:left w:w="144" w:type="dxa"/>
              <w:bottom w:w="0" w:type="dxa"/>
              <w:right w:w="0" w:type="dxa"/>
            </w:tcMar>
            <w:vAlign w:val="bottom"/>
            <w:hideMark/>
          </w:tcPr>
          <w:p w14:paraId="63BC4831"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6,414,750</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492A6E06"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2,295,250</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7BCBAE13"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2,243,520</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4FE1FD32"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2,378,500</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vAlign w:val="bottom"/>
            <w:hideMark/>
          </w:tcPr>
          <w:p w14:paraId="2BBB4F64"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1,447,380</w:t>
            </w:r>
            <w:r>
              <w:rPr>
                <w:rFonts w:ascii="Arial" w:hAnsi="Arial" w:cs="Arial"/>
                <w:sz w:val="18"/>
                <w:szCs w:val="18"/>
              </w:rPr>
              <w:tab/>
            </w:r>
          </w:p>
        </w:tc>
      </w:tr>
    </w:tbl>
    <w:p w14:paraId="65B96F36" w14:textId="77777777" w:rsidR="006309E1" w:rsidRDefault="006309E1" w:rsidP="006309E1">
      <w:pPr>
        <w:pStyle w:val="Heading4"/>
      </w:pPr>
    </w:p>
    <w:p w14:paraId="257DDD7F" w14:textId="77777777" w:rsidR="006309E1" w:rsidRDefault="006309E1">
      <w:pPr>
        <w:rPr>
          <w:rFonts w:ascii="Arial" w:hAnsi="Arial" w:cs="Arial"/>
          <w:b/>
          <w:bCs/>
          <w:szCs w:val="24"/>
        </w:rPr>
      </w:pPr>
      <w:r>
        <w:br w:type="page"/>
      </w:r>
    </w:p>
    <w:p w14:paraId="2466BEAB" w14:textId="15EC4E20" w:rsidR="00D246A9" w:rsidRPr="00306F7C" w:rsidRDefault="00D246A9" w:rsidP="006309E1">
      <w:pPr>
        <w:pStyle w:val="Heading4"/>
      </w:pPr>
      <w:r>
        <w:lastRenderedPageBreak/>
        <w:t xml:space="preserve">Financial Results </w:t>
      </w:r>
    </w:p>
    <w:p w14:paraId="14AD6F8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fiscal year 2023 financial performance measures are shown below, resulting in a weighted payout of 63.61%. We note that our Incentive Plan Revenue result was 95.38% of target, which equated to a 10.98% fiscal year 2023 growth rate, further demonstrating our commitment to rigorous goal setting. </w:t>
      </w:r>
    </w:p>
    <w:p w14:paraId="5C9D4E5C"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456"/>
        <w:gridCol w:w="1004"/>
        <w:gridCol w:w="1264"/>
        <w:gridCol w:w="1004"/>
        <w:gridCol w:w="1224"/>
        <w:gridCol w:w="1204"/>
        <w:gridCol w:w="1644"/>
      </w:tblGrid>
      <w:tr w:rsidR="00D246A9" w14:paraId="083B70DB" w14:textId="77777777" w:rsidTr="00FE0A0A">
        <w:trPr>
          <w:cantSplit/>
          <w:tblHeader/>
        </w:trPr>
        <w:tc>
          <w:tcPr>
            <w:tcW w:w="3456" w:type="dxa"/>
            <w:tcBorders>
              <w:bottom w:val="single" w:sz="8" w:space="0" w:color="000000"/>
            </w:tcBorders>
            <w:tcMar>
              <w:top w:w="0" w:type="dxa"/>
              <w:left w:w="0" w:type="dxa"/>
              <w:bottom w:w="40" w:type="dxa"/>
              <w:right w:w="0" w:type="dxa"/>
            </w:tcMar>
            <w:vAlign w:val="bottom"/>
            <w:hideMark/>
          </w:tcPr>
          <w:p w14:paraId="59FEC4CB" w14:textId="77777777" w:rsidR="00D246A9" w:rsidRPr="00306F7C" w:rsidRDefault="00D246A9">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Financial Results</w:t>
            </w:r>
          </w:p>
          <w:p w14:paraId="1DD0922A" w14:textId="77777777" w:rsidR="00D246A9"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 in billions)</w:t>
            </w:r>
          </w:p>
        </w:tc>
        <w:tc>
          <w:tcPr>
            <w:tcW w:w="1004" w:type="dxa"/>
            <w:tcBorders>
              <w:bottom w:val="single" w:sz="8" w:space="0" w:color="000000"/>
            </w:tcBorders>
            <w:tcMar>
              <w:top w:w="0" w:type="dxa"/>
              <w:left w:w="144" w:type="dxa"/>
              <w:bottom w:w="0" w:type="dxa"/>
              <w:right w:w="0" w:type="dxa"/>
            </w:tcMar>
            <w:vAlign w:val="bottom"/>
            <w:hideMark/>
          </w:tcPr>
          <w:p w14:paraId="658416BE"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FY22</w:t>
            </w:r>
          </w:p>
          <w:p w14:paraId="17696DCA"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Actual</w:t>
            </w:r>
          </w:p>
        </w:tc>
        <w:tc>
          <w:tcPr>
            <w:tcW w:w="1264" w:type="dxa"/>
            <w:tcBorders>
              <w:bottom w:val="single" w:sz="8" w:space="0" w:color="000000"/>
            </w:tcBorders>
            <w:tcMar>
              <w:top w:w="0" w:type="dxa"/>
              <w:left w:w="144" w:type="dxa"/>
              <w:bottom w:w="0" w:type="dxa"/>
              <w:right w:w="0" w:type="dxa"/>
            </w:tcMar>
            <w:vAlign w:val="bottom"/>
            <w:hideMark/>
          </w:tcPr>
          <w:p w14:paraId="42A58E0A" w14:textId="77777777" w:rsidR="00D246A9" w:rsidRDefault="00D246A9">
            <w:pPr>
              <w:jc w:val="right"/>
              <w:rPr>
                <w:rFonts w:ascii="Arial" w:hAnsi="Arial" w:cs="Arial"/>
                <w:sz w:val="18"/>
                <w:szCs w:val="18"/>
              </w:rPr>
            </w:pPr>
            <w:r>
              <w:rPr>
                <w:rFonts w:ascii="Arial" w:hAnsi="Arial" w:cs="Arial"/>
                <w:b/>
                <w:bCs/>
                <w:sz w:val="18"/>
                <w:szCs w:val="18"/>
              </w:rPr>
              <w:t>FY23</w:t>
            </w:r>
            <w:r>
              <w:rPr>
                <w:rFonts w:ascii="Arial" w:hAnsi="Arial" w:cs="Arial"/>
                <w:b/>
                <w:bCs/>
                <w:sz w:val="18"/>
                <w:szCs w:val="18"/>
              </w:rPr>
              <w:br/>
              <w:t>Threshold</w:t>
            </w:r>
          </w:p>
        </w:tc>
        <w:tc>
          <w:tcPr>
            <w:tcW w:w="1004" w:type="dxa"/>
            <w:tcBorders>
              <w:bottom w:val="single" w:sz="8" w:space="0" w:color="000000"/>
            </w:tcBorders>
            <w:tcMar>
              <w:top w:w="0" w:type="dxa"/>
              <w:left w:w="144" w:type="dxa"/>
              <w:bottom w:w="0" w:type="dxa"/>
              <w:right w:w="0" w:type="dxa"/>
            </w:tcMar>
            <w:vAlign w:val="bottom"/>
            <w:hideMark/>
          </w:tcPr>
          <w:p w14:paraId="6446DD30" w14:textId="77777777" w:rsidR="00D246A9" w:rsidRPr="00306F7C"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FY23</w:t>
            </w:r>
          </w:p>
          <w:p w14:paraId="0DA06630"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Target</w:t>
            </w:r>
          </w:p>
        </w:tc>
        <w:tc>
          <w:tcPr>
            <w:tcW w:w="1224" w:type="dxa"/>
            <w:tcBorders>
              <w:bottom w:val="single" w:sz="8" w:space="0" w:color="000000"/>
            </w:tcBorders>
            <w:tcMar>
              <w:top w:w="0" w:type="dxa"/>
              <w:left w:w="144" w:type="dxa"/>
              <w:bottom w:w="0" w:type="dxa"/>
              <w:right w:w="0" w:type="dxa"/>
            </w:tcMar>
            <w:vAlign w:val="bottom"/>
            <w:hideMark/>
          </w:tcPr>
          <w:p w14:paraId="5D7CFA8E"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FY23</w:t>
            </w:r>
          </w:p>
          <w:p w14:paraId="1EA4FF7E"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Maximum</w:t>
            </w:r>
          </w:p>
        </w:tc>
        <w:tc>
          <w:tcPr>
            <w:tcW w:w="1204" w:type="dxa"/>
            <w:tcBorders>
              <w:bottom w:val="single" w:sz="8" w:space="0" w:color="000000"/>
            </w:tcBorders>
            <w:tcMar>
              <w:top w:w="0" w:type="dxa"/>
              <w:left w:w="144" w:type="dxa"/>
              <w:bottom w:w="0" w:type="dxa"/>
              <w:right w:w="0" w:type="dxa"/>
            </w:tcMar>
            <w:vAlign w:val="bottom"/>
            <w:hideMark/>
          </w:tcPr>
          <w:p w14:paraId="3AEA3973"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FY23</w:t>
            </w:r>
          </w:p>
          <w:p w14:paraId="46AABEDA"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Actual</w:t>
            </w:r>
          </w:p>
        </w:tc>
        <w:tc>
          <w:tcPr>
            <w:tcW w:w="1644" w:type="dxa"/>
            <w:tcBorders>
              <w:bottom w:val="single" w:sz="8" w:space="0" w:color="000000"/>
            </w:tcBorders>
            <w:tcMar>
              <w:top w:w="0" w:type="dxa"/>
              <w:left w:w="144" w:type="dxa"/>
              <w:bottom w:w="0" w:type="dxa"/>
              <w:right w:w="0" w:type="dxa"/>
            </w:tcMar>
            <w:vAlign w:val="bottom"/>
            <w:hideMark/>
          </w:tcPr>
          <w:p w14:paraId="1F689560"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FY23</w:t>
            </w:r>
          </w:p>
          <w:p w14:paraId="0A375819"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Growth Rate</w:t>
            </w:r>
          </w:p>
        </w:tc>
      </w:tr>
      <w:tr w:rsidR="00D246A9" w14:paraId="5D774228" w14:textId="77777777" w:rsidTr="00FE0A0A">
        <w:trPr>
          <w:cantSplit/>
        </w:trPr>
        <w:tc>
          <w:tcPr>
            <w:tcW w:w="3456" w:type="dxa"/>
            <w:tcBorders>
              <w:bottom w:val="single" w:sz="6" w:space="0" w:color="0075C9"/>
            </w:tcBorders>
            <w:tcMar>
              <w:top w:w="0" w:type="dxa"/>
              <w:left w:w="0" w:type="dxa"/>
              <w:bottom w:w="40" w:type="dxa"/>
              <w:right w:w="0" w:type="dxa"/>
            </w:tcMar>
            <w:hideMark/>
          </w:tcPr>
          <w:p w14:paraId="13512C89"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FY23 Incentive Plan Revenue</w:t>
            </w:r>
          </w:p>
        </w:tc>
        <w:tc>
          <w:tcPr>
            <w:tcW w:w="1004" w:type="dxa"/>
            <w:tcBorders>
              <w:bottom w:val="single" w:sz="6" w:space="0" w:color="0075C9"/>
            </w:tcBorders>
            <w:noWrap/>
            <w:tcMar>
              <w:top w:w="0" w:type="dxa"/>
              <w:left w:w="144" w:type="dxa"/>
              <w:bottom w:w="0" w:type="dxa"/>
              <w:right w:w="0" w:type="dxa"/>
            </w:tcMar>
            <w:vAlign w:val="bottom"/>
            <w:hideMark/>
          </w:tcPr>
          <w:p w14:paraId="2C264914" w14:textId="77777777" w:rsidR="00D246A9" w:rsidRDefault="00D246A9">
            <w:pPr>
              <w:pStyle w:val="NormalWeb"/>
              <w:tabs>
                <w:tab w:val="right" w:pos="820"/>
                <w:tab w:val="decimal" w:pos="860"/>
              </w:tabs>
              <w:spacing w:before="0" w:beforeAutospacing="0" w:after="20" w:afterAutospacing="0"/>
              <w:rPr>
                <w:rFonts w:ascii="Arial" w:hAnsi="Arial" w:cs="Arial"/>
                <w:sz w:val="18"/>
                <w:szCs w:val="18"/>
              </w:rPr>
            </w:pPr>
            <w:r>
              <w:rPr>
                <w:rFonts w:ascii="Arial" w:hAnsi="Arial" w:cs="Arial"/>
                <w:sz w:val="18"/>
                <w:szCs w:val="18"/>
              </w:rPr>
              <w:tab/>
              <w:t>$198.30</w:t>
            </w:r>
            <w:r>
              <w:rPr>
                <w:rFonts w:ascii="Arial" w:hAnsi="Arial" w:cs="Arial"/>
                <w:sz w:val="18"/>
                <w:szCs w:val="18"/>
              </w:rPr>
              <w:tab/>
            </w:r>
          </w:p>
        </w:tc>
        <w:tc>
          <w:tcPr>
            <w:tcW w:w="1264" w:type="dxa"/>
            <w:tcBorders>
              <w:bottom w:val="single" w:sz="6" w:space="0" w:color="0075C9"/>
            </w:tcBorders>
            <w:noWrap/>
            <w:tcMar>
              <w:top w:w="0" w:type="dxa"/>
              <w:left w:w="144" w:type="dxa"/>
              <w:bottom w:w="0" w:type="dxa"/>
              <w:right w:w="0" w:type="dxa"/>
            </w:tcMar>
            <w:vAlign w:val="bottom"/>
            <w:hideMark/>
          </w:tcPr>
          <w:p w14:paraId="53CE5EC7" w14:textId="77777777" w:rsidR="00D246A9" w:rsidRDefault="00D246A9">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$216.90</w:t>
            </w:r>
            <w:r>
              <w:rPr>
                <w:rFonts w:ascii="Arial" w:hAnsi="Arial" w:cs="Arial"/>
                <w:sz w:val="18"/>
                <w:szCs w:val="18"/>
              </w:rPr>
              <w:tab/>
            </w:r>
          </w:p>
        </w:tc>
        <w:tc>
          <w:tcPr>
            <w:tcW w:w="1004" w:type="dxa"/>
            <w:tcBorders>
              <w:bottom w:val="single" w:sz="6" w:space="0" w:color="0075C9"/>
            </w:tcBorders>
            <w:noWrap/>
            <w:tcMar>
              <w:top w:w="0" w:type="dxa"/>
              <w:left w:w="144" w:type="dxa"/>
              <w:bottom w:w="0" w:type="dxa"/>
              <w:right w:w="0" w:type="dxa"/>
            </w:tcMar>
            <w:vAlign w:val="bottom"/>
            <w:hideMark/>
          </w:tcPr>
          <w:p w14:paraId="2F16E251" w14:textId="77777777" w:rsidR="00D246A9" w:rsidRDefault="00D246A9">
            <w:pPr>
              <w:pStyle w:val="NormalWeb"/>
              <w:tabs>
                <w:tab w:val="right" w:pos="820"/>
                <w:tab w:val="decimal" w:pos="860"/>
              </w:tabs>
              <w:spacing w:before="0" w:beforeAutospacing="0" w:after="20" w:afterAutospacing="0"/>
              <w:rPr>
                <w:rFonts w:ascii="Arial" w:hAnsi="Arial" w:cs="Arial"/>
                <w:sz w:val="18"/>
                <w:szCs w:val="18"/>
              </w:rPr>
            </w:pPr>
            <w:r>
              <w:rPr>
                <w:rFonts w:ascii="Arial" w:hAnsi="Arial" w:cs="Arial"/>
                <w:sz w:val="18"/>
                <w:szCs w:val="18"/>
              </w:rPr>
              <w:tab/>
              <w:t>$230.75</w:t>
            </w:r>
            <w:r>
              <w:rPr>
                <w:rFonts w:ascii="Arial" w:hAnsi="Arial" w:cs="Arial"/>
                <w:sz w:val="18"/>
                <w:szCs w:val="18"/>
              </w:rPr>
              <w:tab/>
            </w:r>
          </w:p>
        </w:tc>
        <w:tc>
          <w:tcPr>
            <w:tcW w:w="1224" w:type="dxa"/>
            <w:tcBorders>
              <w:bottom w:val="single" w:sz="6" w:space="0" w:color="0075C9"/>
            </w:tcBorders>
            <w:noWrap/>
            <w:tcMar>
              <w:top w:w="0" w:type="dxa"/>
              <w:left w:w="144" w:type="dxa"/>
              <w:bottom w:w="0" w:type="dxa"/>
              <w:right w:w="0" w:type="dxa"/>
            </w:tcMar>
            <w:vAlign w:val="bottom"/>
            <w:hideMark/>
          </w:tcPr>
          <w:p w14:paraId="1BF51817" w14:textId="77777777" w:rsidR="00D246A9" w:rsidRDefault="00D246A9">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$243.44</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24A9FBF4" w14:textId="77777777" w:rsidR="00D246A9" w:rsidRDefault="00D246A9">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sz w:val="18"/>
                <w:szCs w:val="18"/>
              </w:rPr>
              <w:tab/>
              <w:t>$220.08</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vAlign w:val="bottom"/>
            <w:hideMark/>
          </w:tcPr>
          <w:p w14:paraId="28339210" w14:textId="77777777" w:rsidR="00D246A9" w:rsidRDefault="00D246A9">
            <w:pPr>
              <w:pStyle w:val="NormalWeb"/>
              <w:tabs>
                <w:tab w:val="right" w:pos="1460"/>
                <w:tab w:val="decimal" w:pos="1500"/>
              </w:tabs>
              <w:spacing w:before="0" w:beforeAutospacing="0" w:after="20" w:afterAutospacing="0"/>
              <w:rPr>
                <w:rFonts w:ascii="Arial" w:hAnsi="Arial" w:cs="Arial"/>
                <w:sz w:val="18"/>
                <w:szCs w:val="18"/>
              </w:rPr>
            </w:pPr>
            <w:r>
              <w:rPr>
                <w:rFonts w:ascii="Arial" w:hAnsi="Arial" w:cs="Arial"/>
                <w:sz w:val="18"/>
                <w:szCs w:val="18"/>
              </w:rPr>
              <w:tab/>
              <w:t>10.98%</w:t>
            </w:r>
            <w:r>
              <w:rPr>
                <w:rFonts w:ascii="Arial" w:hAnsi="Arial" w:cs="Arial"/>
                <w:sz w:val="18"/>
                <w:szCs w:val="18"/>
              </w:rPr>
              <w:tab/>
            </w:r>
          </w:p>
        </w:tc>
      </w:tr>
      <w:tr w:rsidR="00D246A9" w14:paraId="7B5825A9" w14:textId="77777777" w:rsidTr="00FE0A0A">
        <w:trPr>
          <w:cantSplit/>
        </w:trPr>
        <w:tc>
          <w:tcPr>
            <w:tcW w:w="3456" w:type="dxa"/>
            <w:tcBorders>
              <w:bottom w:val="single" w:sz="6" w:space="0" w:color="0075C9"/>
            </w:tcBorders>
            <w:tcMar>
              <w:top w:w="0" w:type="dxa"/>
              <w:left w:w="0" w:type="dxa"/>
              <w:bottom w:w="40" w:type="dxa"/>
              <w:right w:w="0" w:type="dxa"/>
            </w:tcMar>
            <w:hideMark/>
          </w:tcPr>
          <w:p w14:paraId="39A993AE"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FY23 Incentive Plan Operating Income</w:t>
            </w:r>
          </w:p>
        </w:tc>
        <w:tc>
          <w:tcPr>
            <w:tcW w:w="1004" w:type="dxa"/>
            <w:tcBorders>
              <w:bottom w:val="single" w:sz="6" w:space="0" w:color="0075C9"/>
            </w:tcBorders>
            <w:noWrap/>
            <w:tcMar>
              <w:top w:w="0" w:type="dxa"/>
              <w:left w:w="144" w:type="dxa"/>
              <w:bottom w:w="0" w:type="dxa"/>
              <w:right w:w="0" w:type="dxa"/>
            </w:tcMar>
            <w:vAlign w:val="bottom"/>
            <w:hideMark/>
          </w:tcPr>
          <w:p w14:paraId="399340B8" w14:textId="77777777" w:rsidR="00D246A9" w:rsidRDefault="00D246A9">
            <w:pPr>
              <w:pStyle w:val="NormalWeb"/>
              <w:tabs>
                <w:tab w:val="right" w:pos="820"/>
                <w:tab w:val="decimal" w:pos="860"/>
              </w:tabs>
              <w:spacing w:before="0" w:beforeAutospacing="0" w:after="20" w:afterAutospacing="0"/>
              <w:rPr>
                <w:rFonts w:ascii="Arial" w:hAnsi="Arial" w:cs="Arial"/>
                <w:sz w:val="18"/>
                <w:szCs w:val="18"/>
              </w:rPr>
            </w:pPr>
            <w:r>
              <w:rPr>
                <w:rFonts w:ascii="Arial" w:hAnsi="Arial" w:cs="Arial"/>
                <w:sz w:val="18"/>
                <w:szCs w:val="18"/>
              </w:rPr>
              <w:tab/>
              <w:t>$80.47</w:t>
            </w:r>
            <w:r>
              <w:rPr>
                <w:rFonts w:ascii="Arial" w:hAnsi="Arial" w:cs="Arial"/>
                <w:sz w:val="18"/>
                <w:szCs w:val="18"/>
              </w:rPr>
              <w:tab/>
            </w:r>
          </w:p>
        </w:tc>
        <w:tc>
          <w:tcPr>
            <w:tcW w:w="1264" w:type="dxa"/>
            <w:tcBorders>
              <w:bottom w:val="single" w:sz="6" w:space="0" w:color="0075C9"/>
            </w:tcBorders>
            <w:noWrap/>
            <w:tcMar>
              <w:top w:w="0" w:type="dxa"/>
              <w:left w:w="144" w:type="dxa"/>
              <w:bottom w:w="0" w:type="dxa"/>
              <w:right w:w="0" w:type="dxa"/>
            </w:tcMar>
            <w:vAlign w:val="bottom"/>
            <w:hideMark/>
          </w:tcPr>
          <w:p w14:paraId="6126A9C2" w14:textId="77777777" w:rsidR="00D246A9" w:rsidRDefault="00D246A9">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$88.54</w:t>
            </w:r>
            <w:r>
              <w:rPr>
                <w:rFonts w:ascii="Arial" w:hAnsi="Arial" w:cs="Arial"/>
                <w:sz w:val="18"/>
                <w:szCs w:val="18"/>
              </w:rPr>
              <w:tab/>
            </w:r>
          </w:p>
        </w:tc>
        <w:tc>
          <w:tcPr>
            <w:tcW w:w="1004" w:type="dxa"/>
            <w:tcBorders>
              <w:bottom w:val="single" w:sz="6" w:space="0" w:color="0075C9"/>
            </w:tcBorders>
            <w:noWrap/>
            <w:tcMar>
              <w:top w:w="0" w:type="dxa"/>
              <w:left w:w="144" w:type="dxa"/>
              <w:bottom w:w="0" w:type="dxa"/>
              <w:right w:w="0" w:type="dxa"/>
            </w:tcMar>
            <w:vAlign w:val="bottom"/>
            <w:hideMark/>
          </w:tcPr>
          <w:p w14:paraId="234B6C4B" w14:textId="77777777" w:rsidR="00D246A9" w:rsidRDefault="00D246A9">
            <w:pPr>
              <w:pStyle w:val="NormalWeb"/>
              <w:tabs>
                <w:tab w:val="right" w:pos="820"/>
                <w:tab w:val="decimal" w:pos="860"/>
              </w:tabs>
              <w:spacing w:before="0" w:beforeAutospacing="0" w:after="20" w:afterAutospacing="0"/>
              <w:rPr>
                <w:rFonts w:ascii="Arial" w:hAnsi="Arial" w:cs="Arial"/>
                <w:sz w:val="18"/>
                <w:szCs w:val="18"/>
              </w:rPr>
            </w:pPr>
            <w:r>
              <w:rPr>
                <w:rFonts w:ascii="Arial" w:hAnsi="Arial" w:cs="Arial"/>
                <w:sz w:val="18"/>
                <w:szCs w:val="18"/>
              </w:rPr>
              <w:tab/>
              <w:t>$96.77</w:t>
            </w:r>
            <w:r>
              <w:rPr>
                <w:rFonts w:ascii="Arial" w:hAnsi="Arial" w:cs="Arial"/>
                <w:sz w:val="18"/>
                <w:szCs w:val="18"/>
              </w:rPr>
              <w:tab/>
            </w:r>
          </w:p>
        </w:tc>
        <w:tc>
          <w:tcPr>
            <w:tcW w:w="1224" w:type="dxa"/>
            <w:tcBorders>
              <w:bottom w:val="single" w:sz="6" w:space="0" w:color="0075C9"/>
            </w:tcBorders>
            <w:noWrap/>
            <w:tcMar>
              <w:top w:w="0" w:type="dxa"/>
              <w:left w:w="144" w:type="dxa"/>
              <w:bottom w:w="0" w:type="dxa"/>
              <w:right w:w="0" w:type="dxa"/>
            </w:tcMar>
            <w:vAlign w:val="bottom"/>
            <w:hideMark/>
          </w:tcPr>
          <w:p w14:paraId="1F86338B" w14:textId="77777777" w:rsidR="00D246A9" w:rsidRDefault="00D246A9">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$109.35</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7A741B1B" w14:textId="77777777" w:rsidR="00D246A9" w:rsidRDefault="00D246A9">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sz w:val="18"/>
                <w:szCs w:val="18"/>
              </w:rPr>
              <w:tab/>
              <w:t>$91.13</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vAlign w:val="bottom"/>
            <w:hideMark/>
          </w:tcPr>
          <w:p w14:paraId="5340E32D" w14:textId="77777777" w:rsidR="00D246A9" w:rsidRDefault="00D246A9">
            <w:pPr>
              <w:pStyle w:val="NormalWeb"/>
              <w:tabs>
                <w:tab w:val="right" w:pos="1460"/>
                <w:tab w:val="decimal" w:pos="1500"/>
              </w:tabs>
              <w:spacing w:before="0" w:beforeAutospacing="0" w:after="20" w:afterAutospacing="0"/>
              <w:rPr>
                <w:rFonts w:ascii="Arial" w:hAnsi="Arial" w:cs="Arial"/>
                <w:sz w:val="18"/>
                <w:szCs w:val="18"/>
              </w:rPr>
            </w:pPr>
            <w:r>
              <w:rPr>
                <w:rFonts w:ascii="Arial" w:hAnsi="Arial" w:cs="Arial"/>
                <w:sz w:val="18"/>
                <w:szCs w:val="18"/>
              </w:rPr>
              <w:tab/>
              <w:t>13.25%</w:t>
            </w:r>
            <w:r>
              <w:rPr>
                <w:rFonts w:ascii="Arial" w:hAnsi="Arial" w:cs="Arial"/>
                <w:sz w:val="18"/>
                <w:szCs w:val="18"/>
              </w:rPr>
              <w:tab/>
            </w:r>
          </w:p>
        </w:tc>
      </w:tr>
    </w:tbl>
    <w:p w14:paraId="308300E9" w14:textId="4D9451A9" w:rsidR="00D246A9" w:rsidRPr="006309E1" w:rsidRDefault="00D246A9" w:rsidP="006309E1">
      <w:pPr>
        <w:pStyle w:val="NormalWeb"/>
        <w:spacing w:before="240" w:beforeAutospacing="0" w:after="0" w:afterAutospacing="0"/>
        <w:rPr>
          <w:rFonts w:ascii="Arial" w:hAnsi="Arial" w:cs="Arial"/>
          <w:sz w:val="18"/>
          <w:szCs w:val="18"/>
        </w:rPr>
      </w:pPr>
      <w:r>
        <w:rPr>
          <w:rFonts w:ascii="Arial" w:hAnsi="Arial" w:cs="Arial"/>
          <w:sz w:val="18"/>
          <w:szCs w:val="18"/>
        </w:rPr>
        <w:t>“Incentive Plan Revenue” and “Incentive Plan Operating Income” are non-GAAP financial measures. We calculate Incentive Plan Revenue by adjusting GAAP Revenue for (1) the net impact of revenue deferrals, (2) credits and incentives, and (3) the effect of foreign currency rate fluctuations. We exclude the effect of foreign currency rate fluctuations on a “constant dollar” basis by converting current period non-GAAP (i.e., adjusted for the items in the preceding two sentences) results for entities reporting in currencies other than U.S. dollars into U.S. dollars using constant exchange rates, which are determined at the outset of the current period, rather than the actual exchange rates in effect during the respective periods. For fiscal year 2023, we calculated Incentive Plan Operating Income by adjusting GAAP Operating Income for the effect of foreign currency rate fluctuations. These Incentive Plan financial metrics differ from the non-GAAP financial results we report in our quarterly earnings release materials. They should not be considered as a substitute for, or superior to, the measures of financial performance prepared in accordance with GAAP.</w:t>
      </w:r>
    </w:p>
    <w:p w14:paraId="2CC6C42F" w14:textId="77777777" w:rsidR="00D246A9" w:rsidRDefault="00D246A9" w:rsidP="006309E1">
      <w:pPr>
        <w:pStyle w:val="Heading4"/>
      </w:pPr>
      <w:r>
        <w:t xml:space="preserve">Operational Results </w:t>
      </w:r>
    </w:p>
    <w:p w14:paraId="60611B3C" w14:textId="77777777" w:rsidR="00D246A9" w:rsidRDefault="00D246A9" w:rsidP="00212B0B">
      <w:pPr>
        <w:pStyle w:val="Heading5"/>
      </w:pPr>
      <w:r>
        <w:t xml:space="preserve">Satya Nadella </w:t>
      </w:r>
    </w:p>
    <w:p w14:paraId="085EB6A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key results influencing the Compensation Committee and the independent members of our Board decisions on the operational performance portion of Mr. Nadella’s cash incentive are set forth below. Results are out of a possible 200% in each category. </w:t>
      </w:r>
    </w:p>
    <w:p w14:paraId="3492B136" w14:textId="77777777" w:rsidR="00D246A9" w:rsidRDefault="00D246A9">
      <w:pPr>
        <w:pStyle w:val="NormalWeb"/>
        <w:keepNext/>
        <w:spacing w:before="0" w:beforeAutospacing="0" w:after="0" w:afterAutospacing="0"/>
        <w:rPr>
          <w:sz w:val="16"/>
          <w:szCs w:val="16"/>
        </w:rPr>
      </w:pPr>
      <w:r>
        <w:rPr>
          <w:sz w:val="16"/>
          <w:szCs w:val="16"/>
        </w:rPr>
        <w:t> </w:t>
      </w:r>
    </w:p>
    <w:p w14:paraId="149DD611" w14:textId="085DAC52" w:rsidR="00D246A9" w:rsidRPr="00306F7C" w:rsidRDefault="00FD7E39">
      <w:pPr>
        <w:pStyle w:val="NormalWeb"/>
        <w:keepNext/>
        <w:spacing w:before="0" w:beforeAutospacing="0" w:after="0" w:afterAutospacing="0"/>
        <w:rPr>
          <w:sz w:val="16"/>
          <w:szCs w:val="16"/>
        </w:rPr>
      </w:pPr>
      <w:r>
        <w:rPr>
          <w:noProof/>
          <w:sz w:val="16"/>
          <w:szCs w:val="16"/>
        </w:rPr>
        <w:drawing>
          <wp:inline distT="0" distB="0" distL="0" distR="0" wp14:anchorId="6A325391" wp14:editId="0E16660F">
            <wp:extent cx="6838950" cy="374650"/>
            <wp:effectExtent l="0" t="0" r="0" b="6350"/>
            <wp:docPr id="1008194078" name="Picture 37" descr="Mr. Nadella's average financial performance was rated at 63.61% and his average operational performance at 136.67% resulting in an overall bonus of 85.5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94078" name="Picture 37" descr="Mr. Nadella's average financial performance was rated at 63.61% and his average operational performance at 136.67% resulting in an overall bonus of 85.53%. "/>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6838950" cy="374650"/>
                    </a:xfrm>
                    <a:prstGeom prst="rect">
                      <a:avLst/>
                    </a:prstGeom>
                    <a:noFill/>
                    <a:ln>
                      <a:noFill/>
                    </a:ln>
                  </pic:spPr>
                </pic:pic>
              </a:graphicData>
            </a:graphic>
          </wp:inline>
        </w:drawing>
      </w:r>
      <w:r w:rsidR="00D246A9">
        <w:rPr>
          <w:sz w:val="16"/>
          <w:szCs w:val="16"/>
        </w:rPr>
        <w:t> </w:t>
      </w:r>
    </w:p>
    <w:tbl>
      <w:tblPr>
        <w:tblW w:w="0" w:type="auto"/>
        <w:jc w:val="center"/>
        <w:tblLayout w:type="fixed"/>
        <w:tblCellMar>
          <w:left w:w="0" w:type="dxa"/>
          <w:right w:w="0" w:type="dxa"/>
        </w:tblCellMar>
        <w:tblLook w:val="0600" w:firstRow="0" w:lastRow="0" w:firstColumn="0" w:lastColumn="0" w:noHBand="1" w:noVBand="1"/>
      </w:tblPr>
      <w:tblGrid>
        <w:gridCol w:w="9302"/>
        <w:gridCol w:w="188"/>
        <w:gridCol w:w="1202"/>
      </w:tblGrid>
      <w:tr w:rsidR="00D246A9" w14:paraId="36E09066" w14:textId="77777777" w:rsidTr="008F6E69">
        <w:trPr>
          <w:jc w:val="center"/>
        </w:trPr>
        <w:tc>
          <w:tcPr>
            <w:tcW w:w="9302" w:type="dxa"/>
            <w:vAlign w:val="center"/>
            <w:hideMark/>
          </w:tcPr>
          <w:p w14:paraId="062A06B9" w14:textId="77777777" w:rsidR="00D246A9" w:rsidRDefault="00D246A9">
            <w:pPr>
              <w:rPr>
                <w:sz w:val="16"/>
                <w:szCs w:val="16"/>
              </w:rPr>
            </w:pPr>
          </w:p>
        </w:tc>
        <w:tc>
          <w:tcPr>
            <w:tcW w:w="188" w:type="dxa"/>
            <w:vAlign w:val="center"/>
            <w:hideMark/>
          </w:tcPr>
          <w:p w14:paraId="155091B2" w14:textId="77777777" w:rsidR="00D246A9" w:rsidRDefault="00D246A9">
            <w:pPr>
              <w:rPr>
                <w:sz w:val="20"/>
              </w:rPr>
            </w:pPr>
          </w:p>
        </w:tc>
        <w:tc>
          <w:tcPr>
            <w:tcW w:w="1202" w:type="dxa"/>
            <w:vAlign w:val="center"/>
            <w:hideMark/>
          </w:tcPr>
          <w:p w14:paraId="4EF20CC4" w14:textId="77777777" w:rsidR="00D246A9" w:rsidRDefault="00D246A9">
            <w:pPr>
              <w:rPr>
                <w:sz w:val="20"/>
              </w:rPr>
            </w:pPr>
          </w:p>
        </w:tc>
      </w:tr>
      <w:tr w:rsidR="008F6E69" w14:paraId="26E06746" w14:textId="77777777" w:rsidTr="008F6E69">
        <w:trPr>
          <w:cantSplit/>
          <w:jc w:val="center"/>
        </w:trPr>
        <w:tc>
          <w:tcPr>
            <w:tcW w:w="9490" w:type="dxa"/>
            <w:gridSpan w:val="2"/>
            <w:hideMark/>
          </w:tcPr>
          <w:p w14:paraId="4A3AE5DC" w14:textId="77777777" w:rsidR="008F6E69" w:rsidRPr="00306F7C" w:rsidRDefault="008F6E69" w:rsidP="008F6E69">
            <w:pPr>
              <w:pStyle w:val="NormalWeb"/>
              <w:spacing w:before="0" w:beforeAutospacing="0" w:after="0" w:afterAutospacing="0"/>
              <w:rPr>
                <w:rFonts w:ascii="Arial" w:hAnsi="Arial" w:cs="Arial"/>
                <w:sz w:val="4"/>
                <w:szCs w:val="4"/>
              </w:rPr>
            </w:pPr>
            <w:r>
              <w:rPr>
                <w:rFonts w:ascii="Arial" w:hAnsi="Arial" w:cs="Arial"/>
                <w:sz w:val="4"/>
                <w:szCs w:val="4"/>
              </w:rPr>
              <w:t> </w:t>
            </w:r>
          </w:p>
          <w:p w14:paraId="3EEB1FD1" w14:textId="389B6DA4" w:rsidR="008F6E69" w:rsidRDefault="008F6E69" w:rsidP="008F6E69">
            <w:pPr>
              <w:pStyle w:val="NormalWeb"/>
              <w:spacing w:before="0" w:beforeAutospacing="0" w:after="0" w:afterAutospacing="0"/>
              <w:rPr>
                <w:rFonts w:ascii="Arial" w:hAnsi="Arial" w:cs="Arial"/>
                <w:sz w:val="32"/>
                <w:szCs w:val="32"/>
              </w:rPr>
            </w:pPr>
            <w:r>
              <w:rPr>
                <w:rFonts w:ascii="Arial" w:hAnsi="Arial" w:cs="Arial"/>
                <w:b/>
                <w:bCs/>
                <w:color w:val="0075C9"/>
                <w:sz w:val="20"/>
                <w:szCs w:val="20"/>
              </w:rPr>
              <w:t>Product &amp; Strategy (10%)</w:t>
            </w:r>
          </w:p>
        </w:tc>
        <w:tc>
          <w:tcPr>
            <w:tcW w:w="1202" w:type="dxa"/>
            <w:hideMark/>
          </w:tcPr>
          <w:p w14:paraId="27E2122F" w14:textId="3469DA47" w:rsidR="008F6E69" w:rsidRPr="008F6E69" w:rsidRDefault="008F6E69" w:rsidP="008F6E69">
            <w:pPr>
              <w:pStyle w:val="NormalWeb"/>
              <w:spacing w:before="0" w:beforeAutospacing="0" w:after="0" w:afterAutospacing="0"/>
              <w:jc w:val="right"/>
              <w:rPr>
                <w:rFonts w:ascii="Arial" w:hAnsi="Arial" w:cs="Arial"/>
                <w:sz w:val="4"/>
                <w:szCs w:val="4"/>
              </w:rPr>
            </w:pPr>
            <w:r w:rsidRPr="008F6E69">
              <w:rPr>
                <w:rFonts w:ascii="Arial" w:hAnsi="Arial" w:cs="Arial"/>
                <w:b/>
                <w:bCs/>
                <w:color w:val="FFFFFF" w:themeColor="background1"/>
                <w:sz w:val="4"/>
                <w:szCs w:val="4"/>
              </w:rPr>
              <w:t>overall</w:t>
            </w:r>
            <w:r>
              <w:rPr>
                <w:rFonts w:ascii="Arial" w:hAnsi="Arial" w:cs="Arial"/>
                <w:b/>
                <w:bCs/>
                <w:color w:val="0075C9"/>
                <w:sz w:val="32"/>
                <w:szCs w:val="32"/>
              </w:rPr>
              <w:t xml:space="preserve"> 150%</w:t>
            </w:r>
          </w:p>
        </w:tc>
      </w:tr>
      <w:tr w:rsidR="00D246A9" w14:paraId="026548F0" w14:textId="77777777" w:rsidTr="008F6E69">
        <w:trPr>
          <w:cantSplit/>
          <w:jc w:val="center"/>
        </w:trPr>
        <w:tc>
          <w:tcPr>
            <w:tcW w:w="10692" w:type="dxa"/>
            <w:gridSpan w:val="3"/>
            <w:tcBorders>
              <w:bottom w:val="single" w:sz="6" w:space="0" w:color="0075C9"/>
            </w:tcBorders>
            <w:tcMar>
              <w:top w:w="0" w:type="dxa"/>
              <w:left w:w="0" w:type="dxa"/>
              <w:bottom w:w="40" w:type="dxa"/>
              <w:right w:w="0" w:type="dxa"/>
            </w:tcMar>
            <w:hideMark/>
          </w:tcPr>
          <w:p w14:paraId="01AC417E" w14:textId="77777777" w:rsidR="00D246A9" w:rsidRPr="00306F7C" w:rsidRDefault="00D246A9">
            <w:pPr>
              <w:pStyle w:val="NormalWeb"/>
              <w:keepNext/>
              <w:spacing w:before="0" w:beforeAutospacing="0" w:after="0" w:afterAutospacing="0"/>
              <w:rPr>
                <w:rFonts w:ascii="Arial" w:hAnsi="Arial" w:cs="Arial"/>
                <w:sz w:val="18"/>
                <w:szCs w:val="18"/>
              </w:rPr>
            </w:pPr>
            <w:r>
              <w:rPr>
                <w:rFonts w:ascii="Arial" w:hAnsi="Arial" w:cs="Arial"/>
                <w:sz w:val="18"/>
                <w:szCs w:val="18"/>
              </w:rPr>
              <w:t>Mr. Nadella’s vision, decisiveness, and leadership enabled Microsoft to excel in product and strategy during fiscal year 2023 and positioned the Company to be the acknowledged leader in AI for a changing world by:</w:t>
            </w:r>
          </w:p>
          <w:p w14:paraId="48593240"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 </w:t>
            </w:r>
          </w:p>
          <w:p w14:paraId="20E992ED" w14:textId="77777777" w:rsidR="00D246A9" w:rsidRDefault="00D246A9" w:rsidP="00FD7E39">
            <w:pPr>
              <w:pStyle w:val="NormalWeb"/>
              <w:spacing w:before="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Establishing leadership in AI infrastructure and capturing early AI market momentum through achievements such as the launch of Microsoft 365 Copilot, Azure OpenAI Service, and the new Bing and Edge.</w:t>
            </w:r>
          </w:p>
          <w:p w14:paraId="3BB65821" w14:textId="77777777" w:rsidR="00D246A9" w:rsidRDefault="00D246A9" w:rsidP="00FD7E39">
            <w:pPr>
              <w:pStyle w:val="NormalWeb"/>
              <w:spacing w:before="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Launching Microsoft Fabric as the most unified and AI-enabled analytics platform with over 8,000 active customer trials.</w:t>
            </w:r>
          </w:p>
          <w:p w14:paraId="5D5FAF25" w14:textId="77777777" w:rsidR="00D246A9" w:rsidRDefault="00D246A9" w:rsidP="00FD7E39">
            <w:pPr>
              <w:pStyle w:val="NormalWeb"/>
              <w:spacing w:before="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Critical Security leadership, as evidenced by increasing customer adoption of Microsoft security services and solutions and the innovation and thought leadership in Security AI with Security Copilot.</w:t>
            </w:r>
          </w:p>
          <w:p w14:paraId="3ACF1162" w14:textId="77777777" w:rsidR="00D246A9" w:rsidRDefault="00D246A9" w:rsidP="00FD7E39">
            <w:pPr>
              <w:pStyle w:val="NormalWeb"/>
              <w:spacing w:before="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Achieving an all-time high in LinkedIn user engagement.</w:t>
            </w:r>
          </w:p>
          <w:p w14:paraId="34DAA881" w14:textId="77777777" w:rsidR="00D246A9" w:rsidRDefault="00D246A9" w:rsidP="00FD7E39">
            <w:pPr>
              <w:pStyle w:val="NormalWeb"/>
              <w:spacing w:before="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Growing total revenue by 7% year-over-year, with a significant portion of growth being delivered by new investments and innovation.</w:t>
            </w:r>
          </w:p>
          <w:p w14:paraId="437F36C7"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8F6E69" w14:paraId="782B8D56" w14:textId="77777777" w:rsidTr="008F6E69">
        <w:trPr>
          <w:cantSplit/>
          <w:jc w:val="center"/>
        </w:trPr>
        <w:tc>
          <w:tcPr>
            <w:tcW w:w="9490" w:type="dxa"/>
            <w:gridSpan w:val="2"/>
            <w:hideMark/>
          </w:tcPr>
          <w:p w14:paraId="59517AE1" w14:textId="77777777" w:rsidR="008F6E69" w:rsidRPr="00306F7C" w:rsidRDefault="008F6E69" w:rsidP="008F6E69">
            <w:pPr>
              <w:pStyle w:val="NormalWeb"/>
              <w:spacing w:before="0" w:beforeAutospacing="0" w:after="0" w:afterAutospacing="0"/>
              <w:rPr>
                <w:rFonts w:ascii="Arial" w:hAnsi="Arial" w:cs="Arial"/>
                <w:sz w:val="4"/>
                <w:szCs w:val="4"/>
              </w:rPr>
            </w:pPr>
            <w:r>
              <w:rPr>
                <w:rFonts w:ascii="Arial" w:hAnsi="Arial" w:cs="Arial"/>
                <w:sz w:val="4"/>
                <w:szCs w:val="4"/>
              </w:rPr>
              <w:t> </w:t>
            </w:r>
          </w:p>
          <w:p w14:paraId="1BE51F2E" w14:textId="51ED94DA" w:rsidR="008F6E69" w:rsidRDefault="008F6E69" w:rsidP="008F6E69">
            <w:pPr>
              <w:pStyle w:val="NormalWeb"/>
              <w:spacing w:before="0" w:beforeAutospacing="0" w:after="0" w:afterAutospacing="0"/>
              <w:rPr>
                <w:rFonts w:ascii="Arial" w:hAnsi="Arial" w:cs="Arial"/>
                <w:sz w:val="32"/>
                <w:szCs w:val="32"/>
              </w:rPr>
            </w:pPr>
            <w:r>
              <w:rPr>
                <w:rFonts w:ascii="Arial" w:hAnsi="Arial" w:cs="Arial"/>
                <w:b/>
                <w:bCs/>
                <w:color w:val="0075C9"/>
                <w:sz w:val="20"/>
                <w:szCs w:val="20"/>
              </w:rPr>
              <w:t>Customers &amp; Stakeholders (10%)</w:t>
            </w:r>
          </w:p>
        </w:tc>
        <w:tc>
          <w:tcPr>
            <w:tcW w:w="1202" w:type="dxa"/>
            <w:hideMark/>
          </w:tcPr>
          <w:p w14:paraId="0D0E49A2" w14:textId="19B6F013" w:rsidR="008F6E69" w:rsidRPr="008F6E69" w:rsidRDefault="008F6E69" w:rsidP="008F6E69">
            <w:pPr>
              <w:pStyle w:val="NormalWeb"/>
              <w:spacing w:before="0" w:beforeAutospacing="0" w:after="0" w:afterAutospacing="0"/>
              <w:jc w:val="right"/>
              <w:rPr>
                <w:rFonts w:ascii="Arial" w:hAnsi="Arial" w:cs="Arial"/>
                <w:sz w:val="4"/>
                <w:szCs w:val="4"/>
              </w:rPr>
            </w:pPr>
            <w:r w:rsidRPr="008F6E69">
              <w:rPr>
                <w:rFonts w:ascii="Arial" w:hAnsi="Arial" w:cs="Arial"/>
                <w:b/>
                <w:bCs/>
                <w:color w:val="FFFFFF" w:themeColor="background1"/>
                <w:sz w:val="4"/>
                <w:szCs w:val="4"/>
              </w:rPr>
              <w:t>overall</w:t>
            </w:r>
            <w:r>
              <w:rPr>
                <w:rFonts w:ascii="Arial" w:hAnsi="Arial" w:cs="Arial"/>
                <w:b/>
                <w:bCs/>
                <w:color w:val="0075C9"/>
                <w:sz w:val="32"/>
                <w:szCs w:val="32"/>
              </w:rPr>
              <w:t xml:space="preserve"> 150%</w:t>
            </w:r>
          </w:p>
        </w:tc>
      </w:tr>
      <w:tr w:rsidR="00D246A9" w14:paraId="611C9216" w14:textId="77777777" w:rsidTr="008F6E69">
        <w:trPr>
          <w:cantSplit/>
          <w:jc w:val="center"/>
        </w:trPr>
        <w:tc>
          <w:tcPr>
            <w:tcW w:w="10692" w:type="dxa"/>
            <w:gridSpan w:val="3"/>
            <w:hideMark/>
          </w:tcPr>
          <w:p w14:paraId="757DCE07" w14:textId="77777777" w:rsidR="00D246A9" w:rsidRPr="00306F7C" w:rsidRDefault="00D246A9">
            <w:pPr>
              <w:pStyle w:val="NormalWeb"/>
              <w:spacing w:before="0" w:beforeAutospacing="0" w:after="0" w:afterAutospacing="0"/>
              <w:rPr>
                <w:rFonts w:ascii="Arial" w:hAnsi="Arial" w:cs="Arial"/>
                <w:sz w:val="18"/>
                <w:szCs w:val="18"/>
              </w:rPr>
            </w:pPr>
            <w:r>
              <w:rPr>
                <w:rFonts w:ascii="Arial" w:hAnsi="Arial" w:cs="Arial"/>
                <w:sz w:val="18"/>
                <w:szCs w:val="18"/>
              </w:rPr>
              <w:t>Again, in fiscal year 2023, Mr. Nadella furthered Microsoft’s success as the preferred or primary cloud partner for an increasing number of premier, global organizations while also expanding Microsoft’s share among Digital Natives.</w:t>
            </w:r>
          </w:p>
          <w:p w14:paraId="7655CA2A"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 </w:t>
            </w:r>
          </w:p>
          <w:p w14:paraId="5439B58D" w14:textId="77777777" w:rsidR="00D246A9" w:rsidRDefault="00D246A9" w:rsidP="00FD7E39">
            <w:pPr>
              <w:pStyle w:val="NormalWeb"/>
              <w:spacing w:before="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Microsoft launched or expanded its Enterprise partnerships with leading organizations.</w:t>
            </w:r>
          </w:p>
          <w:p w14:paraId="44F6CBA6" w14:textId="77777777" w:rsidR="00D246A9" w:rsidRDefault="00D246A9" w:rsidP="00FD7E39">
            <w:pPr>
              <w:pStyle w:val="NormalWeb"/>
              <w:spacing w:before="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Digital Natives comprise one of Microsoft’s fastest-growing segments, turning to Microsoft for their cloud infrastructure, data, and AI needs.</w:t>
            </w:r>
          </w:p>
          <w:p w14:paraId="4AEF6896" w14:textId="77777777" w:rsidR="00D246A9" w:rsidRDefault="00D246A9" w:rsidP="00FD7E39">
            <w:pPr>
              <w:pStyle w:val="NormalWeb"/>
              <w:spacing w:before="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On the consumer front, Microsoft partnered with Netflix to launch Netflix’s first ad-supported subscription tier, launched Bing Chat, and achieved strong user engagement on Microsoft’s gaming platforms.</w:t>
            </w:r>
          </w:p>
          <w:p w14:paraId="5D8C0EB1"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 </w:t>
            </w:r>
          </w:p>
        </w:tc>
      </w:tr>
    </w:tbl>
    <w:p w14:paraId="1AF84404" w14:textId="46575EE4" w:rsidR="008F6E69" w:rsidRDefault="008F6E69"/>
    <w:p w14:paraId="20E03B4E" w14:textId="77777777" w:rsidR="008F6E69" w:rsidRDefault="008F6E69">
      <w:r>
        <w:br w:type="page"/>
      </w:r>
    </w:p>
    <w:tbl>
      <w:tblPr>
        <w:tblW w:w="0" w:type="auto"/>
        <w:jc w:val="center"/>
        <w:tblLayout w:type="fixed"/>
        <w:tblCellMar>
          <w:left w:w="0" w:type="dxa"/>
          <w:right w:w="0" w:type="dxa"/>
        </w:tblCellMar>
        <w:tblLook w:val="0600" w:firstRow="0" w:lastRow="0" w:firstColumn="0" w:lastColumn="0" w:noHBand="1" w:noVBand="1"/>
      </w:tblPr>
      <w:tblGrid>
        <w:gridCol w:w="9490"/>
        <w:gridCol w:w="1202"/>
      </w:tblGrid>
      <w:tr w:rsidR="008F6E69" w14:paraId="29D9EDD8" w14:textId="77777777" w:rsidTr="007D7093">
        <w:trPr>
          <w:cantSplit/>
          <w:jc w:val="center"/>
        </w:trPr>
        <w:tc>
          <w:tcPr>
            <w:tcW w:w="9490" w:type="dxa"/>
            <w:tcBorders>
              <w:top w:val="single" w:sz="4" w:space="0" w:color="FFFFFF" w:themeColor="background1"/>
            </w:tcBorders>
            <w:hideMark/>
          </w:tcPr>
          <w:p w14:paraId="72B8B5DF" w14:textId="77777777" w:rsidR="008F6E69" w:rsidRPr="00306F7C" w:rsidRDefault="008F6E69" w:rsidP="008F6E69">
            <w:pPr>
              <w:pStyle w:val="NormalWeb"/>
              <w:spacing w:before="0" w:beforeAutospacing="0" w:after="0" w:afterAutospacing="0"/>
              <w:rPr>
                <w:rFonts w:ascii="Arial" w:hAnsi="Arial" w:cs="Arial"/>
                <w:sz w:val="4"/>
                <w:szCs w:val="4"/>
              </w:rPr>
            </w:pPr>
            <w:r>
              <w:rPr>
                <w:rFonts w:ascii="Arial" w:hAnsi="Arial" w:cs="Arial"/>
                <w:sz w:val="4"/>
                <w:szCs w:val="4"/>
              </w:rPr>
              <w:lastRenderedPageBreak/>
              <w:t> </w:t>
            </w:r>
          </w:p>
          <w:p w14:paraId="727E43A7" w14:textId="14B63F5F" w:rsidR="008F6E69" w:rsidRDefault="008F6E69" w:rsidP="008F6E69">
            <w:pPr>
              <w:pStyle w:val="NormalWeb"/>
              <w:pageBreakBefore/>
              <w:spacing w:before="0" w:beforeAutospacing="0" w:after="0" w:afterAutospacing="0"/>
              <w:rPr>
                <w:rFonts w:ascii="Arial" w:hAnsi="Arial" w:cs="Arial"/>
                <w:sz w:val="32"/>
                <w:szCs w:val="32"/>
              </w:rPr>
            </w:pPr>
            <w:r>
              <w:rPr>
                <w:rFonts w:ascii="Arial" w:hAnsi="Arial" w:cs="Arial"/>
                <w:b/>
                <w:bCs/>
                <w:color w:val="0075C9"/>
                <w:sz w:val="20"/>
                <w:szCs w:val="20"/>
              </w:rPr>
              <w:t>Culture, Diversity &amp; Sustainability (10%)</w:t>
            </w:r>
          </w:p>
        </w:tc>
        <w:tc>
          <w:tcPr>
            <w:tcW w:w="1202" w:type="dxa"/>
            <w:tcBorders>
              <w:top w:val="single" w:sz="4" w:space="0" w:color="FFFFFF" w:themeColor="background1"/>
            </w:tcBorders>
            <w:hideMark/>
          </w:tcPr>
          <w:p w14:paraId="34A49AF8" w14:textId="3C2C9282" w:rsidR="008F6E69" w:rsidRPr="008F6E69" w:rsidRDefault="008F6E69" w:rsidP="008F6E69">
            <w:pPr>
              <w:pStyle w:val="NormalWeb"/>
              <w:spacing w:before="0" w:beforeAutospacing="0" w:after="0" w:afterAutospacing="0"/>
              <w:jc w:val="right"/>
              <w:rPr>
                <w:rFonts w:ascii="Arial" w:hAnsi="Arial" w:cs="Arial"/>
                <w:sz w:val="4"/>
                <w:szCs w:val="4"/>
              </w:rPr>
            </w:pPr>
            <w:r w:rsidRPr="008F6E69">
              <w:rPr>
                <w:rFonts w:ascii="Arial" w:hAnsi="Arial" w:cs="Arial"/>
                <w:b/>
                <w:bCs/>
                <w:color w:val="FFFFFF" w:themeColor="background1"/>
                <w:sz w:val="4"/>
                <w:szCs w:val="4"/>
              </w:rPr>
              <w:t>overall</w:t>
            </w:r>
            <w:r>
              <w:rPr>
                <w:rFonts w:ascii="Arial" w:hAnsi="Arial" w:cs="Arial"/>
                <w:b/>
                <w:bCs/>
                <w:color w:val="0075C9"/>
                <w:sz w:val="32"/>
                <w:szCs w:val="32"/>
              </w:rPr>
              <w:t xml:space="preserve"> 110%</w:t>
            </w:r>
          </w:p>
        </w:tc>
      </w:tr>
      <w:tr w:rsidR="00D246A9" w14:paraId="790DED71" w14:textId="77777777" w:rsidTr="008F6E69">
        <w:trPr>
          <w:cantSplit/>
          <w:jc w:val="center"/>
        </w:trPr>
        <w:tc>
          <w:tcPr>
            <w:tcW w:w="10692" w:type="dxa"/>
            <w:gridSpan w:val="2"/>
            <w:hideMark/>
          </w:tcPr>
          <w:p w14:paraId="4EBE63F8" w14:textId="284DD318" w:rsidR="00D246A9" w:rsidRPr="00E236E9" w:rsidRDefault="00D246A9" w:rsidP="00E236E9">
            <w:pPr>
              <w:pStyle w:val="NormalWeb"/>
              <w:spacing w:before="0" w:beforeAutospacing="0" w:after="80" w:afterAutospacing="0"/>
              <w:rPr>
                <w:rFonts w:ascii="Arial" w:hAnsi="Arial" w:cs="Arial"/>
                <w:sz w:val="18"/>
                <w:szCs w:val="18"/>
              </w:rPr>
            </w:pPr>
            <w:r>
              <w:rPr>
                <w:rFonts w:ascii="Arial" w:hAnsi="Arial" w:cs="Arial"/>
                <w:sz w:val="18"/>
                <w:szCs w:val="18"/>
              </w:rPr>
              <w:t>Mr. Nadella navigated Microsoft through a volatile year – with many key successes and challenges.</w:t>
            </w:r>
          </w:p>
        </w:tc>
      </w:tr>
      <w:tr w:rsidR="00D246A9" w14:paraId="1A0227AC" w14:textId="77777777" w:rsidTr="008F6E69">
        <w:trPr>
          <w:cantSplit/>
          <w:jc w:val="center"/>
        </w:trPr>
        <w:tc>
          <w:tcPr>
            <w:tcW w:w="10692" w:type="dxa"/>
            <w:gridSpan w:val="2"/>
            <w:tcBorders>
              <w:bottom w:val="single" w:sz="6" w:space="0" w:color="0075C9"/>
            </w:tcBorders>
            <w:hideMark/>
          </w:tcPr>
          <w:p w14:paraId="54D83583" w14:textId="77777777" w:rsidR="00D246A9" w:rsidRPr="00306F7C" w:rsidRDefault="00D246A9" w:rsidP="00FD7E39">
            <w:pPr>
              <w:pStyle w:val="NormalWeb"/>
              <w:spacing w:before="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Mr. Nadella directed a substantive and thought-leading approach to AI governance and continues to represent Microsoft in leading the commitment to responsible AI across the private and public sector.</w:t>
            </w:r>
          </w:p>
          <w:p w14:paraId="0589BA2F" w14:textId="77777777" w:rsidR="00D246A9" w:rsidRDefault="00D246A9" w:rsidP="00FD7E39">
            <w:pPr>
              <w:pStyle w:val="NormalWeb"/>
              <w:spacing w:before="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Microsoft successfully navigated new cybersecurity regulations while also sustaining strong cybersecurity support for Ukraine and NATO and adding to its influence and capability around foreign cyber operations.</w:t>
            </w:r>
          </w:p>
          <w:p w14:paraId="0FB85D84" w14:textId="77777777" w:rsidR="00D246A9" w:rsidRDefault="00D246A9" w:rsidP="00FD7E39">
            <w:pPr>
              <w:pStyle w:val="NormalWeb"/>
              <w:keepNext/>
              <w:spacing w:before="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Mr. Nadella led Microsoft in the Company’s achievement of several key sustainability milestones, including:</w:t>
            </w:r>
          </w:p>
          <w:p w14:paraId="2EE84C86" w14:textId="77777777" w:rsidR="00D246A9" w:rsidRDefault="00D246A9" w:rsidP="00FD7E39">
            <w:pPr>
              <w:pStyle w:val="NormalWeb"/>
              <w:spacing w:before="0" w:beforeAutospacing="0" w:after="0" w:afterAutospacing="0"/>
              <w:ind w:left="360" w:hanging="194"/>
              <w:rPr>
                <w:rFonts w:ascii="Arial" w:hAnsi="Arial" w:cs="Arial"/>
                <w:sz w:val="18"/>
                <w:szCs w:val="18"/>
              </w:rPr>
            </w:pPr>
            <w:r>
              <w:rPr>
                <w:rFonts w:ascii="Arial" w:hAnsi="Arial" w:cs="Arial"/>
                <w:sz w:val="18"/>
                <w:szCs w:val="18"/>
              </w:rPr>
              <w:t>•</w:t>
            </w:r>
            <w:r>
              <w:rPr>
                <w:rFonts w:ascii="Arial" w:hAnsi="Arial" w:cs="Arial"/>
                <w:sz w:val="18"/>
                <w:szCs w:val="18"/>
              </w:rPr>
              <w:tab/>
              <w:t>Developing a more comprehensive and strategic approach to strengthening internal carbon accounting capabilities and reducing Microsoft’s carbon footprint.</w:t>
            </w:r>
          </w:p>
          <w:p w14:paraId="20CC73AB" w14:textId="77777777" w:rsidR="00D246A9" w:rsidRDefault="00D246A9" w:rsidP="00FD7E39">
            <w:pPr>
              <w:pStyle w:val="NormalWeb"/>
              <w:spacing w:before="0" w:beforeAutospacing="0" w:after="0" w:afterAutospacing="0"/>
              <w:ind w:left="360" w:hanging="194"/>
              <w:rPr>
                <w:rFonts w:ascii="Arial" w:hAnsi="Arial" w:cs="Arial"/>
                <w:sz w:val="18"/>
                <w:szCs w:val="18"/>
              </w:rPr>
            </w:pPr>
            <w:r>
              <w:rPr>
                <w:rFonts w:ascii="Arial" w:hAnsi="Arial" w:cs="Arial"/>
                <w:sz w:val="18"/>
                <w:szCs w:val="18"/>
              </w:rPr>
              <w:t>•</w:t>
            </w:r>
            <w:r>
              <w:rPr>
                <w:rFonts w:ascii="Arial" w:hAnsi="Arial" w:cs="Arial"/>
                <w:sz w:val="18"/>
                <w:szCs w:val="18"/>
              </w:rPr>
              <w:tab/>
              <w:t>Providing just under one million people with clean water and sanitation solutions by the end of calendar year 2022.</w:t>
            </w:r>
          </w:p>
          <w:p w14:paraId="5E7E296E" w14:textId="77777777" w:rsidR="00D246A9" w:rsidRDefault="00D246A9" w:rsidP="00FD7E39">
            <w:pPr>
              <w:pStyle w:val="NormalWeb"/>
              <w:spacing w:before="0" w:beforeAutospacing="0" w:after="0" w:afterAutospacing="0"/>
              <w:ind w:left="360" w:hanging="194"/>
              <w:rPr>
                <w:rFonts w:ascii="Arial" w:hAnsi="Arial" w:cs="Arial"/>
                <w:sz w:val="18"/>
                <w:szCs w:val="18"/>
              </w:rPr>
            </w:pPr>
            <w:r>
              <w:rPr>
                <w:rFonts w:ascii="Arial" w:hAnsi="Arial" w:cs="Arial"/>
                <w:sz w:val="18"/>
                <w:szCs w:val="18"/>
              </w:rPr>
              <w:t>•</w:t>
            </w:r>
            <w:r>
              <w:rPr>
                <w:rFonts w:ascii="Arial" w:hAnsi="Arial" w:cs="Arial"/>
                <w:sz w:val="18"/>
                <w:szCs w:val="18"/>
              </w:rPr>
              <w:tab/>
              <w:t>Directing the enhancement of sustainability on Microsoft’s own properties – including reducing, reusing, and recovering waste on campus and in data centers.</w:t>
            </w:r>
          </w:p>
          <w:p w14:paraId="290857A6" w14:textId="77777777" w:rsidR="00D246A9" w:rsidRDefault="00D246A9" w:rsidP="00FD7E39">
            <w:pPr>
              <w:pStyle w:val="NormalWeb"/>
              <w:spacing w:before="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While Microsoft was not immune to the workforce reductions experienced by many </w:t>
            </w:r>
            <w:proofErr w:type="gramStart"/>
            <w:r>
              <w:rPr>
                <w:rFonts w:ascii="Arial" w:hAnsi="Arial" w:cs="Arial"/>
                <w:sz w:val="18"/>
                <w:szCs w:val="18"/>
              </w:rPr>
              <w:t>technology</w:t>
            </w:r>
            <w:proofErr w:type="gramEnd"/>
            <w:r>
              <w:rPr>
                <w:rFonts w:ascii="Arial" w:hAnsi="Arial" w:cs="Arial"/>
                <w:sz w:val="18"/>
                <w:szCs w:val="18"/>
              </w:rPr>
              <w:t xml:space="preserve"> organizations, Mr. Nadella’s leadership encouraged a focus on dignity and respect for impacted employees throughout the process.</w:t>
            </w:r>
          </w:p>
          <w:p w14:paraId="40174A5B" w14:textId="77777777" w:rsidR="00D246A9" w:rsidRDefault="00D246A9" w:rsidP="00FD7E39">
            <w:pPr>
              <w:pStyle w:val="NormalWeb"/>
              <w:spacing w:before="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Mr. Nadella led by example in retaining the Company’s focus on diversity and inclusion through global employee resource group (ERG) events and senior leadership support.</w:t>
            </w:r>
          </w:p>
          <w:p w14:paraId="588C50BC"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 </w:t>
            </w:r>
          </w:p>
        </w:tc>
      </w:tr>
    </w:tbl>
    <w:p w14:paraId="4B498FC5" w14:textId="77777777" w:rsidR="00D246A9" w:rsidRDefault="00D246A9" w:rsidP="00212B0B">
      <w:pPr>
        <w:pStyle w:val="Heading5"/>
      </w:pPr>
      <w:r>
        <w:t xml:space="preserve">Other Named Executives </w:t>
      </w:r>
    </w:p>
    <w:p w14:paraId="601D51B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key results influencing our Compensation Committee’s decisions on the operational performance category portion of the cash incentive for the other Named Executives are summarized below. </w:t>
      </w:r>
    </w:p>
    <w:p w14:paraId="5FD5529E" w14:textId="77777777" w:rsidR="00D246A9" w:rsidRDefault="00D246A9" w:rsidP="00E236E9">
      <w:pPr>
        <w:pStyle w:val="rrdsinglerule"/>
        <w:pBdr>
          <w:top w:val="single" w:sz="6" w:space="0" w:color="0075C9"/>
        </w:pBdr>
        <w:spacing w:before="80"/>
        <w:rPr>
          <w:sz w:val="24"/>
          <w:szCs w:val="24"/>
        </w:rPr>
      </w:pPr>
      <w:r>
        <w:t> </w:t>
      </w:r>
    </w:p>
    <w:p w14:paraId="15CF4F84" w14:textId="77777777" w:rsidR="00D246A9" w:rsidRDefault="00D246A9">
      <w:pPr>
        <w:pStyle w:val="NormalWeb"/>
        <w:keepNext/>
        <w:spacing w:before="0" w:beforeAutospacing="0" w:after="0" w:afterAutospacing="0"/>
        <w:rPr>
          <w:sz w:val="4"/>
          <w:szCs w:val="4"/>
        </w:rPr>
      </w:pPr>
      <w:r>
        <w:rPr>
          <w:sz w:val="4"/>
          <w:szCs w:val="4"/>
        </w:rPr>
        <w:t> </w:t>
      </w:r>
    </w:p>
    <w:p w14:paraId="4D2A45CE" w14:textId="77777777" w:rsidR="00D246A9" w:rsidRDefault="00D246A9">
      <w:pPr>
        <w:pStyle w:val="NormalWeb"/>
        <w:keepNext/>
        <w:spacing w:before="0" w:beforeAutospacing="0" w:after="0" w:afterAutospacing="0"/>
        <w:rPr>
          <w:sz w:val="2"/>
          <w:szCs w:val="2"/>
        </w:rPr>
      </w:pPr>
      <w:r>
        <w:rPr>
          <w:sz w:val="2"/>
          <w:szCs w:val="2"/>
        </w:rPr>
        <w:t> </w:t>
      </w:r>
    </w:p>
    <w:p w14:paraId="69C4DB48"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color w:val="0075C9"/>
          <w:sz w:val="18"/>
          <w:szCs w:val="18"/>
        </w:rPr>
        <w:t xml:space="preserve">Amy E. Hood, Executive Vice President and Chief Financial Officer </w:t>
      </w:r>
    </w:p>
    <w:p w14:paraId="401D4521"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Delivered solid financial performance and cost management, while returning over $38 billion in cash to shareholders in the form of share repurchases and dividends. </w:t>
      </w:r>
    </w:p>
    <w:p w14:paraId="3DF1D303"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Drove effective resource reallocation to fund AI transformation. </w:t>
      </w:r>
    </w:p>
    <w:p w14:paraId="0138F3A2"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Continued intense focus on building efficiencies through process simplification, improvement and execution to drive operating leverage and align our cost structure with our revenue growth. </w:t>
      </w:r>
    </w:p>
    <w:p w14:paraId="00E743A7"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Demonstrated leadership on ESG efforts in sustainability, the Company’s racial equity initiative, and affordable housing investments. </w:t>
      </w:r>
    </w:p>
    <w:p w14:paraId="431B212E"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Championed for diversity and inclusion driving increased representation across the Finance organization. </w:t>
      </w:r>
    </w:p>
    <w:p w14:paraId="02D4B9F1" w14:textId="77777777" w:rsidR="00D246A9" w:rsidRDefault="00D246A9" w:rsidP="00E236E9">
      <w:pPr>
        <w:pStyle w:val="rrdsinglerule"/>
        <w:pBdr>
          <w:top w:val="single" w:sz="6" w:space="0" w:color="0075C9"/>
        </w:pBdr>
        <w:spacing w:before="80"/>
        <w:rPr>
          <w:sz w:val="24"/>
          <w:szCs w:val="24"/>
        </w:rPr>
      </w:pPr>
      <w:r>
        <w:t> </w:t>
      </w:r>
    </w:p>
    <w:p w14:paraId="35EDFDB6" w14:textId="77777777" w:rsidR="00D246A9" w:rsidRDefault="00D246A9">
      <w:pPr>
        <w:pStyle w:val="NormalWeb"/>
        <w:keepNext/>
        <w:spacing w:before="0" w:beforeAutospacing="0" w:after="0" w:afterAutospacing="0"/>
        <w:rPr>
          <w:sz w:val="4"/>
          <w:szCs w:val="4"/>
        </w:rPr>
      </w:pPr>
      <w:r>
        <w:rPr>
          <w:sz w:val="4"/>
          <w:szCs w:val="4"/>
        </w:rPr>
        <w:t> </w:t>
      </w:r>
    </w:p>
    <w:p w14:paraId="062AFA94" w14:textId="77777777" w:rsidR="00D246A9" w:rsidRDefault="00D246A9">
      <w:pPr>
        <w:pStyle w:val="NormalWeb"/>
        <w:keepNext/>
        <w:spacing w:before="0" w:beforeAutospacing="0" w:after="0" w:afterAutospacing="0"/>
        <w:rPr>
          <w:sz w:val="2"/>
          <w:szCs w:val="2"/>
        </w:rPr>
      </w:pPr>
      <w:r>
        <w:rPr>
          <w:sz w:val="2"/>
          <w:szCs w:val="2"/>
        </w:rPr>
        <w:t> </w:t>
      </w:r>
    </w:p>
    <w:p w14:paraId="39DBA083"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color w:val="0075C9"/>
          <w:sz w:val="18"/>
          <w:szCs w:val="18"/>
        </w:rPr>
        <w:t xml:space="preserve">Judson B. Althoff, Executive Vice President and Chief Commercial Officer </w:t>
      </w:r>
    </w:p>
    <w:p w14:paraId="39A98387"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Clear and effective leadership of Microsoft Customer &amp; Partner Solutions (“MCAPS”) group to help deliver strong performance contributing to revenue growth. </w:t>
      </w:r>
    </w:p>
    <w:p w14:paraId="3727A5E3"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Championed customer and partner engagement across the company, including driving AI transformation across numerous engagements. </w:t>
      </w:r>
    </w:p>
    <w:p w14:paraId="0713D920"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Continued to streamline processes and enhance deal agility to optimize customer experiences. </w:t>
      </w:r>
    </w:p>
    <w:p w14:paraId="1F7D4412"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Doubled down on driving MCAPS high-performance mindset and culture, providing greater clarity and alignment of business priorities and increasing confidence in career development. </w:t>
      </w:r>
    </w:p>
    <w:p w14:paraId="23A916CC"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Steady focus on advancing diversity and inclusion efforts. </w:t>
      </w:r>
    </w:p>
    <w:p w14:paraId="28DC42B0" w14:textId="77777777" w:rsidR="00D246A9" w:rsidRDefault="00D246A9" w:rsidP="00E236E9">
      <w:pPr>
        <w:pStyle w:val="rrdsinglerule"/>
        <w:pBdr>
          <w:top w:val="single" w:sz="6" w:space="0" w:color="0075C9"/>
        </w:pBdr>
        <w:spacing w:before="80"/>
        <w:rPr>
          <w:sz w:val="24"/>
          <w:szCs w:val="24"/>
        </w:rPr>
      </w:pPr>
      <w:r>
        <w:t> </w:t>
      </w:r>
    </w:p>
    <w:p w14:paraId="24F724B8" w14:textId="77777777" w:rsidR="00D246A9" w:rsidRDefault="00D246A9">
      <w:pPr>
        <w:pStyle w:val="NormalWeb"/>
        <w:keepNext/>
        <w:spacing w:before="0" w:beforeAutospacing="0" w:after="0" w:afterAutospacing="0"/>
        <w:rPr>
          <w:sz w:val="4"/>
          <w:szCs w:val="4"/>
        </w:rPr>
      </w:pPr>
      <w:r>
        <w:rPr>
          <w:sz w:val="4"/>
          <w:szCs w:val="4"/>
        </w:rPr>
        <w:t> </w:t>
      </w:r>
    </w:p>
    <w:p w14:paraId="384864F6" w14:textId="77777777" w:rsidR="00D246A9" w:rsidRDefault="00D246A9">
      <w:pPr>
        <w:pStyle w:val="NormalWeb"/>
        <w:keepNext/>
        <w:spacing w:before="0" w:beforeAutospacing="0" w:after="0" w:afterAutospacing="0"/>
        <w:rPr>
          <w:sz w:val="2"/>
          <w:szCs w:val="2"/>
        </w:rPr>
      </w:pPr>
      <w:r>
        <w:rPr>
          <w:sz w:val="2"/>
          <w:szCs w:val="2"/>
        </w:rPr>
        <w:t> </w:t>
      </w:r>
    </w:p>
    <w:p w14:paraId="4C55FB19"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color w:val="0075C9"/>
          <w:sz w:val="18"/>
          <w:szCs w:val="18"/>
        </w:rPr>
        <w:t xml:space="preserve">Bradford L. Smith, Vice Chair and President </w:t>
      </w:r>
    </w:p>
    <w:p w14:paraId="198EBDBC"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Championed Microsoft efforts on responsible AI practices, messages and public policy issues, including publishing a blueprint for “Governing AI”. </w:t>
      </w:r>
    </w:p>
    <w:p w14:paraId="14118BFF"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Continued leadership in combatting disinformation and foreign cyber influence operations. </w:t>
      </w:r>
    </w:p>
    <w:p w14:paraId="0034800B"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Continued efforts to protect fundamental rights including access to the internet with a new strategy for the Airband program through new partnerships and broader focus to a wider range of technologies. </w:t>
      </w:r>
    </w:p>
    <w:p w14:paraId="7920E7A1"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Led efforts to close the Activision Blizzard acquisition. </w:t>
      </w:r>
    </w:p>
    <w:p w14:paraId="7E63102F"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Drove strong performance for Microsoft Philanthropies in supporting products and services for non-profits. </w:t>
      </w:r>
    </w:p>
    <w:p w14:paraId="39F50067" w14:textId="08FB30BC"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Led progress on environmental sustainability and strengthened capabilities across the Company to connect the Company’s product strategy, data &amp; reporting, and our public policy efforts. </w:t>
      </w:r>
    </w:p>
    <w:p w14:paraId="3AC86F26" w14:textId="77777777" w:rsidR="00E236E9" w:rsidRDefault="00E236E9" w:rsidP="00E236E9">
      <w:pPr>
        <w:pStyle w:val="rrdsinglerule"/>
        <w:pBdr>
          <w:top w:val="single" w:sz="6" w:space="0" w:color="0075C9"/>
        </w:pBdr>
        <w:spacing w:before="120"/>
        <w:rPr>
          <w:sz w:val="24"/>
          <w:szCs w:val="24"/>
        </w:rPr>
      </w:pPr>
      <w:r>
        <w:t> </w:t>
      </w:r>
    </w:p>
    <w:p w14:paraId="071D3EFF" w14:textId="77777777" w:rsidR="00D246A9" w:rsidRDefault="00D246A9">
      <w:pPr>
        <w:pStyle w:val="NormalWeb"/>
        <w:keepNext/>
        <w:spacing w:before="0" w:beforeAutospacing="0" w:after="0" w:afterAutospacing="0"/>
        <w:rPr>
          <w:sz w:val="4"/>
          <w:szCs w:val="4"/>
        </w:rPr>
      </w:pPr>
      <w:r>
        <w:rPr>
          <w:sz w:val="4"/>
          <w:szCs w:val="4"/>
        </w:rPr>
        <w:t> </w:t>
      </w:r>
    </w:p>
    <w:p w14:paraId="08066C5F" w14:textId="77777777" w:rsidR="00D246A9" w:rsidRDefault="00D246A9">
      <w:pPr>
        <w:pStyle w:val="NormalWeb"/>
        <w:keepNext/>
        <w:spacing w:before="0" w:beforeAutospacing="0" w:after="0" w:afterAutospacing="0"/>
        <w:rPr>
          <w:sz w:val="2"/>
          <w:szCs w:val="2"/>
        </w:rPr>
      </w:pPr>
      <w:r>
        <w:rPr>
          <w:sz w:val="2"/>
          <w:szCs w:val="2"/>
        </w:rPr>
        <w:t> </w:t>
      </w:r>
    </w:p>
    <w:p w14:paraId="797820AC"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color w:val="0075C9"/>
          <w:sz w:val="18"/>
          <w:szCs w:val="18"/>
        </w:rPr>
        <w:t xml:space="preserve">Christopher D. Young, Executive Vice President, Business Development, Strategy, and Ventures </w:t>
      </w:r>
    </w:p>
    <w:p w14:paraId="108A4E1D"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Key role in support of AI transformation efforts, providing thought leadership for business leaders on AI transformation strategies for their organizations. </w:t>
      </w:r>
    </w:p>
    <w:p w14:paraId="24E36A1B"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Drove foundational partnerships and investments for the Company in strategic new growth areas. </w:t>
      </w:r>
    </w:p>
    <w:p w14:paraId="436A50CB"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Served as a key driver in important strategic transactions and corporate acquisitions. </w:t>
      </w:r>
    </w:p>
    <w:p w14:paraId="60AA646B"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Increased M12 Venture Fund engagements with early-stage companies. </w:t>
      </w:r>
    </w:p>
    <w:p w14:paraId="03DB5390" w14:textId="77777777" w:rsidR="00D246A9" w:rsidRDefault="00D246A9" w:rsidP="00FD7E39">
      <w:pPr>
        <w:pStyle w:val="NormalWeb"/>
        <w:spacing w:before="0" w:beforeAutospacing="0" w:after="0" w:afterAutospacing="0"/>
        <w:ind w:left="180" w:hanging="180"/>
        <w:rPr>
          <w:rFonts w:ascii="Arial" w:hAnsi="Arial" w:cs="Arial"/>
          <w:sz w:val="18"/>
          <w:szCs w:val="18"/>
        </w:rPr>
      </w:pPr>
      <w:r>
        <w:rPr>
          <w:rFonts w:ascii="Arial" w:hAnsi="Arial" w:cs="Arial"/>
          <w:sz w:val="18"/>
          <w:szCs w:val="18"/>
        </w:rPr>
        <w:t>•</w:t>
      </w:r>
      <w:r>
        <w:rPr>
          <w:rFonts w:ascii="Arial" w:hAnsi="Arial" w:cs="Arial"/>
          <w:sz w:val="18"/>
          <w:szCs w:val="18"/>
        </w:rPr>
        <w:tab/>
        <w:t xml:space="preserve">Provided thought leadership on the importance of diversity and inclusion in the technology industry. </w:t>
      </w:r>
    </w:p>
    <w:p w14:paraId="10216400" w14:textId="77777777" w:rsidR="00D246A9" w:rsidRDefault="00D246A9">
      <w:pPr>
        <w:pStyle w:val="NormalWeb"/>
        <w:keepNext/>
        <w:spacing w:before="0" w:beforeAutospacing="0" w:after="0" w:afterAutospacing="0"/>
        <w:rPr>
          <w:sz w:val="12"/>
          <w:szCs w:val="12"/>
        </w:rPr>
      </w:pPr>
      <w:r>
        <w:rPr>
          <w:sz w:val="12"/>
          <w:szCs w:val="12"/>
        </w:rPr>
        <w:t> </w:t>
      </w:r>
    </w:p>
    <w:p w14:paraId="6C061FAD" w14:textId="77777777" w:rsidR="00D246A9" w:rsidRDefault="00D246A9">
      <w:pPr>
        <w:pStyle w:val="rrdsinglerule"/>
        <w:pBdr>
          <w:top w:val="single" w:sz="6" w:space="0" w:color="0075C9"/>
        </w:pBdr>
        <w:spacing w:before="120"/>
        <w:rPr>
          <w:sz w:val="24"/>
          <w:szCs w:val="24"/>
        </w:rPr>
      </w:pPr>
      <w:r>
        <w:t> </w:t>
      </w:r>
    </w:p>
    <w:p w14:paraId="41FA1B38" w14:textId="77777777" w:rsidR="00D246A9" w:rsidRDefault="00D246A9">
      <w:pPr>
        <w:pStyle w:val="NormalWeb"/>
        <w:spacing w:before="180" w:beforeAutospacing="0" w:after="0" w:afterAutospacing="0"/>
        <w:rPr>
          <w:sz w:val="2"/>
          <w:szCs w:val="2"/>
        </w:rPr>
      </w:pPr>
      <w:r>
        <w:rPr>
          <w:sz w:val="2"/>
          <w:szCs w:val="2"/>
        </w:rPr>
        <w:t> </w:t>
      </w:r>
    </w:p>
    <w:p w14:paraId="2562DFC5" w14:textId="77777777" w:rsidR="00E236E9" w:rsidRDefault="00E236E9">
      <w:pPr>
        <w:rPr>
          <w:rFonts w:ascii="Arial" w:hAnsi="Arial" w:cs="Arial"/>
          <w:b/>
          <w:bCs/>
          <w:szCs w:val="24"/>
        </w:rPr>
      </w:pPr>
      <w:r>
        <w:br w:type="page"/>
      </w:r>
    </w:p>
    <w:p w14:paraId="32F3186C" w14:textId="365CE8FC" w:rsidR="00D246A9" w:rsidRDefault="00D246A9" w:rsidP="008E18EB">
      <w:pPr>
        <w:pStyle w:val="Heading4"/>
      </w:pPr>
      <w:r>
        <w:lastRenderedPageBreak/>
        <w:t xml:space="preserve">Fiscal Year 2023 Stock Awards </w:t>
      </w:r>
    </w:p>
    <w:p w14:paraId="32FCC25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fiscal year 2023 PSAs and SAs granted to our Named Executives under the Incentive Plan are listed below. We did not increase our target award values for our Named Executives, except in the case of Mr. Althoff whose target award value increased from $12,600,000 to $14,640,000 based on a competitive market review. </w:t>
      </w:r>
    </w:p>
    <w:p w14:paraId="25B8A561"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6412"/>
        <w:gridCol w:w="1744"/>
        <w:gridCol w:w="1304"/>
        <w:gridCol w:w="1340"/>
      </w:tblGrid>
      <w:tr w:rsidR="00D246A9" w14:paraId="50329A7D" w14:textId="77777777" w:rsidTr="00FE0A0A">
        <w:trPr>
          <w:cantSplit/>
          <w:tblHeader/>
        </w:trPr>
        <w:tc>
          <w:tcPr>
            <w:tcW w:w="6412" w:type="dxa"/>
            <w:tcBorders>
              <w:bottom w:val="single" w:sz="8" w:space="0" w:color="000000"/>
            </w:tcBorders>
            <w:tcMar>
              <w:top w:w="0" w:type="dxa"/>
              <w:left w:w="0" w:type="dxa"/>
              <w:bottom w:w="40" w:type="dxa"/>
              <w:right w:w="0" w:type="dxa"/>
            </w:tcMar>
            <w:vAlign w:val="bottom"/>
            <w:hideMark/>
          </w:tcPr>
          <w:p w14:paraId="18CB5CA9"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1744" w:type="dxa"/>
            <w:tcBorders>
              <w:bottom w:val="single" w:sz="8" w:space="0" w:color="000000"/>
            </w:tcBorders>
            <w:tcMar>
              <w:top w:w="0" w:type="dxa"/>
              <w:left w:w="144" w:type="dxa"/>
              <w:bottom w:w="0" w:type="dxa"/>
              <w:right w:w="0" w:type="dxa"/>
            </w:tcMar>
            <w:vAlign w:val="bottom"/>
            <w:hideMark/>
          </w:tcPr>
          <w:p w14:paraId="4CAE7BF0" w14:textId="77777777" w:rsidR="00D246A9" w:rsidRDefault="00D246A9">
            <w:pPr>
              <w:jc w:val="right"/>
              <w:rPr>
                <w:rFonts w:ascii="Arial" w:hAnsi="Arial" w:cs="Arial"/>
                <w:sz w:val="18"/>
                <w:szCs w:val="18"/>
              </w:rPr>
            </w:pPr>
            <w:r>
              <w:rPr>
                <w:rFonts w:ascii="Arial" w:hAnsi="Arial" w:cs="Arial"/>
                <w:b/>
                <w:bCs/>
                <w:sz w:val="18"/>
                <w:szCs w:val="18"/>
              </w:rPr>
              <w:t>PSAs</w:t>
            </w:r>
            <w:r>
              <w:rPr>
                <w:rFonts w:ascii="Arial" w:hAnsi="Arial" w:cs="Arial"/>
                <w:b/>
                <w:bCs/>
                <w:sz w:val="18"/>
                <w:szCs w:val="18"/>
              </w:rPr>
              <w:br/>
              <w:t>(Target Number</w:t>
            </w:r>
            <w:r>
              <w:rPr>
                <w:rFonts w:ascii="Arial" w:hAnsi="Arial" w:cs="Arial"/>
                <w:b/>
                <w:bCs/>
                <w:sz w:val="18"/>
                <w:szCs w:val="18"/>
              </w:rPr>
              <w:br/>
              <w:t>of </w:t>
            </w:r>
            <w:proofErr w:type="gramStart"/>
            <w:r>
              <w:rPr>
                <w:rFonts w:ascii="Arial" w:hAnsi="Arial" w:cs="Arial"/>
                <w:b/>
                <w:bCs/>
                <w:sz w:val="18"/>
                <w:szCs w:val="18"/>
              </w:rPr>
              <w:t>Shares)¹</w:t>
            </w:r>
            <w:proofErr w:type="gramEnd"/>
          </w:p>
        </w:tc>
        <w:tc>
          <w:tcPr>
            <w:tcW w:w="1304" w:type="dxa"/>
            <w:tcBorders>
              <w:bottom w:val="single" w:sz="8" w:space="0" w:color="000000"/>
            </w:tcBorders>
            <w:tcMar>
              <w:top w:w="0" w:type="dxa"/>
              <w:left w:w="144" w:type="dxa"/>
              <w:bottom w:w="0" w:type="dxa"/>
              <w:right w:w="0" w:type="dxa"/>
            </w:tcMar>
            <w:vAlign w:val="bottom"/>
            <w:hideMark/>
          </w:tcPr>
          <w:p w14:paraId="5CD57709" w14:textId="77777777" w:rsidR="00D246A9" w:rsidRDefault="00D246A9">
            <w:pPr>
              <w:jc w:val="right"/>
              <w:rPr>
                <w:rFonts w:ascii="Arial" w:hAnsi="Arial" w:cs="Arial"/>
                <w:sz w:val="18"/>
                <w:szCs w:val="18"/>
              </w:rPr>
            </w:pPr>
            <w:r>
              <w:rPr>
                <w:rFonts w:ascii="Arial" w:hAnsi="Arial" w:cs="Arial"/>
                <w:b/>
                <w:bCs/>
                <w:sz w:val="18"/>
                <w:szCs w:val="18"/>
              </w:rPr>
              <w:t>SAs</w:t>
            </w:r>
            <w:r>
              <w:rPr>
                <w:rFonts w:ascii="Arial" w:hAnsi="Arial" w:cs="Arial"/>
                <w:b/>
                <w:bCs/>
                <w:sz w:val="18"/>
                <w:szCs w:val="18"/>
              </w:rPr>
              <w:br/>
              <w:t>(Number</w:t>
            </w:r>
            <w:r>
              <w:rPr>
                <w:rFonts w:ascii="Arial" w:hAnsi="Arial" w:cs="Arial"/>
                <w:b/>
                <w:bCs/>
                <w:sz w:val="18"/>
                <w:szCs w:val="18"/>
              </w:rPr>
              <w:br/>
              <w:t>of </w:t>
            </w:r>
            <w:proofErr w:type="gramStart"/>
            <w:r>
              <w:rPr>
                <w:rFonts w:ascii="Arial" w:hAnsi="Arial" w:cs="Arial"/>
                <w:b/>
                <w:bCs/>
                <w:sz w:val="18"/>
                <w:szCs w:val="18"/>
              </w:rPr>
              <w:t>Shares)²</w:t>
            </w:r>
            <w:proofErr w:type="gramEnd"/>
          </w:p>
        </w:tc>
        <w:tc>
          <w:tcPr>
            <w:tcW w:w="1340" w:type="dxa"/>
            <w:tcBorders>
              <w:bottom w:val="single" w:sz="8" w:space="0" w:color="000000"/>
            </w:tcBorders>
            <w:tcMar>
              <w:top w:w="0" w:type="dxa"/>
              <w:left w:w="144" w:type="dxa"/>
              <w:bottom w:w="0" w:type="dxa"/>
              <w:right w:w="0" w:type="dxa"/>
            </w:tcMar>
            <w:vAlign w:val="bottom"/>
            <w:hideMark/>
          </w:tcPr>
          <w:p w14:paraId="04446DBD" w14:textId="77777777" w:rsidR="00D246A9" w:rsidRDefault="00D246A9">
            <w:pPr>
              <w:jc w:val="right"/>
              <w:rPr>
                <w:rFonts w:ascii="Arial" w:hAnsi="Arial" w:cs="Arial"/>
                <w:sz w:val="18"/>
                <w:szCs w:val="18"/>
              </w:rPr>
            </w:pPr>
            <w:r>
              <w:rPr>
                <w:rFonts w:ascii="Arial" w:hAnsi="Arial" w:cs="Arial"/>
                <w:b/>
                <w:bCs/>
                <w:sz w:val="18"/>
                <w:szCs w:val="18"/>
              </w:rPr>
              <w:t>Aggregate</w:t>
            </w:r>
            <w:r>
              <w:rPr>
                <w:rFonts w:ascii="Arial" w:hAnsi="Arial" w:cs="Arial"/>
                <w:b/>
                <w:bCs/>
                <w:sz w:val="18"/>
                <w:szCs w:val="18"/>
              </w:rPr>
              <w:br/>
              <w:t>Target</w:t>
            </w:r>
            <w:r>
              <w:rPr>
                <w:rFonts w:ascii="Arial" w:hAnsi="Arial" w:cs="Arial"/>
                <w:b/>
                <w:bCs/>
                <w:sz w:val="18"/>
                <w:szCs w:val="18"/>
              </w:rPr>
              <w:br/>
              <w:t>Award Value³</w:t>
            </w:r>
            <w:r>
              <w:rPr>
                <w:rFonts w:ascii="Arial" w:hAnsi="Arial" w:cs="Arial"/>
                <w:b/>
                <w:bCs/>
                <w:sz w:val="18"/>
                <w:szCs w:val="18"/>
              </w:rPr>
              <w:br/>
              <w:t>($)</w:t>
            </w:r>
          </w:p>
        </w:tc>
      </w:tr>
      <w:tr w:rsidR="00D246A9" w14:paraId="1A393D76" w14:textId="77777777" w:rsidTr="00FE0A0A">
        <w:trPr>
          <w:cantSplit/>
        </w:trPr>
        <w:tc>
          <w:tcPr>
            <w:tcW w:w="6412" w:type="dxa"/>
            <w:tcBorders>
              <w:bottom w:val="single" w:sz="6" w:space="0" w:color="0075C9"/>
            </w:tcBorders>
            <w:tcMar>
              <w:top w:w="0" w:type="dxa"/>
              <w:left w:w="0" w:type="dxa"/>
              <w:bottom w:w="40" w:type="dxa"/>
              <w:right w:w="0" w:type="dxa"/>
            </w:tcMar>
            <w:hideMark/>
          </w:tcPr>
          <w:p w14:paraId="643C58F5"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744" w:type="dxa"/>
            <w:tcBorders>
              <w:bottom w:val="single" w:sz="6" w:space="0" w:color="0075C9"/>
            </w:tcBorders>
            <w:noWrap/>
            <w:tcMar>
              <w:top w:w="0" w:type="dxa"/>
              <w:left w:w="144" w:type="dxa"/>
              <w:bottom w:w="0" w:type="dxa"/>
              <w:right w:w="0" w:type="dxa"/>
            </w:tcMar>
            <w:vAlign w:val="bottom"/>
            <w:hideMark/>
          </w:tcPr>
          <w:p w14:paraId="7A2D90EF" w14:textId="77777777" w:rsidR="00D246A9" w:rsidRDefault="00D246A9">
            <w:pPr>
              <w:pStyle w:val="NormalWeb"/>
              <w:tabs>
                <w:tab w:val="right" w:pos="1560"/>
                <w:tab w:val="decimal" w:pos="1600"/>
              </w:tabs>
              <w:spacing w:before="0" w:beforeAutospacing="0" w:after="20" w:afterAutospacing="0"/>
              <w:rPr>
                <w:rFonts w:ascii="Arial" w:hAnsi="Arial" w:cs="Arial"/>
                <w:sz w:val="18"/>
                <w:szCs w:val="18"/>
              </w:rPr>
            </w:pPr>
            <w:r>
              <w:rPr>
                <w:rFonts w:ascii="Arial" w:hAnsi="Arial" w:cs="Arial"/>
                <w:sz w:val="18"/>
                <w:szCs w:val="18"/>
              </w:rPr>
              <w:tab/>
              <w:t>191,226</w:t>
            </w:r>
            <w:r>
              <w:rPr>
                <w:rFonts w:ascii="Arial" w:hAnsi="Arial" w:cs="Arial"/>
                <w:sz w:val="18"/>
                <w:szCs w:val="18"/>
              </w:rPr>
              <w:tab/>
            </w:r>
          </w:p>
        </w:tc>
        <w:tc>
          <w:tcPr>
            <w:tcW w:w="1304" w:type="dxa"/>
            <w:tcBorders>
              <w:bottom w:val="single" w:sz="6" w:space="0" w:color="0075C9"/>
            </w:tcBorders>
            <w:noWrap/>
            <w:tcMar>
              <w:top w:w="0" w:type="dxa"/>
              <w:left w:w="144" w:type="dxa"/>
              <w:bottom w:w="0" w:type="dxa"/>
              <w:right w:w="0" w:type="dxa"/>
            </w:tcMar>
            <w:vAlign w:val="bottom"/>
            <w:hideMark/>
          </w:tcPr>
          <w:p w14:paraId="411E0A2C" w14:textId="77777777" w:rsidR="00D246A9" w:rsidRDefault="00D246A9">
            <w:pPr>
              <w:pStyle w:val="NormalWeb"/>
              <w:tabs>
                <w:tab w:val="right" w:pos="1120"/>
                <w:tab w:val="decimal" w:pos="116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340" w:type="dxa"/>
            <w:tcBorders>
              <w:bottom w:val="single" w:sz="6" w:space="0" w:color="0075C9"/>
            </w:tcBorders>
            <w:tcMar>
              <w:top w:w="0" w:type="dxa"/>
              <w:left w:w="0" w:type="dxa"/>
              <w:bottom w:w="40" w:type="dxa"/>
              <w:right w:w="0" w:type="dxa"/>
            </w:tcMar>
            <w:vAlign w:val="bottom"/>
            <w:hideMark/>
          </w:tcPr>
          <w:p w14:paraId="387922CF" w14:textId="77777777" w:rsidR="00D246A9" w:rsidRDefault="00D246A9">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ab/>
              <w:t>50,000,000</w:t>
            </w:r>
            <w:r>
              <w:rPr>
                <w:rFonts w:ascii="Arial" w:hAnsi="Arial" w:cs="Arial"/>
                <w:sz w:val="18"/>
                <w:szCs w:val="18"/>
              </w:rPr>
              <w:tab/>
            </w:r>
          </w:p>
        </w:tc>
      </w:tr>
      <w:tr w:rsidR="00D246A9" w14:paraId="7C05B14C" w14:textId="77777777" w:rsidTr="00FE0A0A">
        <w:trPr>
          <w:cantSplit/>
        </w:trPr>
        <w:tc>
          <w:tcPr>
            <w:tcW w:w="6412" w:type="dxa"/>
            <w:tcBorders>
              <w:bottom w:val="single" w:sz="6" w:space="0" w:color="0075C9"/>
            </w:tcBorders>
            <w:tcMar>
              <w:top w:w="0" w:type="dxa"/>
              <w:left w:w="0" w:type="dxa"/>
              <w:bottom w:w="40" w:type="dxa"/>
              <w:right w:w="0" w:type="dxa"/>
            </w:tcMar>
            <w:hideMark/>
          </w:tcPr>
          <w:p w14:paraId="31BC0356"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1744" w:type="dxa"/>
            <w:tcBorders>
              <w:bottom w:val="single" w:sz="6" w:space="0" w:color="0075C9"/>
            </w:tcBorders>
            <w:noWrap/>
            <w:tcMar>
              <w:top w:w="0" w:type="dxa"/>
              <w:left w:w="144" w:type="dxa"/>
              <w:bottom w:w="0" w:type="dxa"/>
              <w:right w:w="0" w:type="dxa"/>
            </w:tcMar>
            <w:vAlign w:val="bottom"/>
            <w:hideMark/>
          </w:tcPr>
          <w:p w14:paraId="14D8CBB1" w14:textId="77777777" w:rsidR="00D246A9" w:rsidRDefault="00D246A9">
            <w:pPr>
              <w:pStyle w:val="NormalWeb"/>
              <w:tabs>
                <w:tab w:val="right" w:pos="1560"/>
                <w:tab w:val="decimal" w:pos="1600"/>
              </w:tabs>
              <w:spacing w:before="0" w:beforeAutospacing="0" w:after="20" w:afterAutospacing="0"/>
              <w:rPr>
                <w:rFonts w:ascii="Arial" w:hAnsi="Arial" w:cs="Arial"/>
                <w:sz w:val="18"/>
                <w:szCs w:val="18"/>
              </w:rPr>
            </w:pPr>
            <w:r>
              <w:rPr>
                <w:rFonts w:ascii="Arial" w:hAnsi="Arial" w:cs="Arial"/>
                <w:sz w:val="18"/>
                <w:szCs w:val="18"/>
              </w:rPr>
              <w:tab/>
              <w:t>33,465</w:t>
            </w:r>
            <w:r>
              <w:rPr>
                <w:rFonts w:ascii="Arial" w:hAnsi="Arial" w:cs="Arial"/>
                <w:sz w:val="18"/>
                <w:szCs w:val="18"/>
              </w:rPr>
              <w:tab/>
            </w:r>
          </w:p>
        </w:tc>
        <w:tc>
          <w:tcPr>
            <w:tcW w:w="1304" w:type="dxa"/>
            <w:tcBorders>
              <w:bottom w:val="single" w:sz="6" w:space="0" w:color="0075C9"/>
            </w:tcBorders>
            <w:noWrap/>
            <w:tcMar>
              <w:top w:w="0" w:type="dxa"/>
              <w:left w:w="144" w:type="dxa"/>
              <w:bottom w:w="0" w:type="dxa"/>
              <w:right w:w="0" w:type="dxa"/>
            </w:tcMar>
            <w:vAlign w:val="bottom"/>
            <w:hideMark/>
          </w:tcPr>
          <w:p w14:paraId="5C0B09C9" w14:textId="77777777" w:rsidR="00D246A9" w:rsidRDefault="00D246A9">
            <w:pPr>
              <w:pStyle w:val="NormalWeb"/>
              <w:tabs>
                <w:tab w:val="right" w:pos="1120"/>
                <w:tab w:val="decimal" w:pos="1160"/>
              </w:tabs>
              <w:spacing w:before="0" w:beforeAutospacing="0" w:after="20" w:afterAutospacing="0"/>
              <w:rPr>
                <w:rFonts w:ascii="Arial" w:hAnsi="Arial" w:cs="Arial"/>
                <w:sz w:val="18"/>
                <w:szCs w:val="18"/>
              </w:rPr>
            </w:pPr>
            <w:r>
              <w:rPr>
                <w:rFonts w:ascii="Arial" w:hAnsi="Arial" w:cs="Arial"/>
                <w:sz w:val="18"/>
                <w:szCs w:val="18"/>
              </w:rPr>
              <w:tab/>
              <w:t>33,465</w:t>
            </w:r>
            <w:r>
              <w:rPr>
                <w:rFonts w:ascii="Arial" w:hAnsi="Arial" w:cs="Arial"/>
                <w:sz w:val="18"/>
                <w:szCs w:val="18"/>
              </w:rPr>
              <w:tab/>
            </w:r>
          </w:p>
        </w:tc>
        <w:tc>
          <w:tcPr>
            <w:tcW w:w="1340" w:type="dxa"/>
            <w:tcBorders>
              <w:bottom w:val="single" w:sz="6" w:space="0" w:color="0075C9"/>
            </w:tcBorders>
            <w:tcMar>
              <w:top w:w="0" w:type="dxa"/>
              <w:left w:w="0" w:type="dxa"/>
              <w:bottom w:w="40" w:type="dxa"/>
              <w:right w:w="0" w:type="dxa"/>
            </w:tcMar>
            <w:vAlign w:val="bottom"/>
            <w:hideMark/>
          </w:tcPr>
          <w:p w14:paraId="2E833E9C" w14:textId="77777777" w:rsidR="00D246A9" w:rsidRDefault="00D246A9">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ab/>
              <w:t>17,500,000</w:t>
            </w:r>
            <w:r>
              <w:rPr>
                <w:rFonts w:ascii="Arial" w:hAnsi="Arial" w:cs="Arial"/>
                <w:sz w:val="18"/>
                <w:szCs w:val="18"/>
              </w:rPr>
              <w:tab/>
            </w:r>
          </w:p>
        </w:tc>
      </w:tr>
      <w:tr w:rsidR="00D246A9" w14:paraId="66545E8E" w14:textId="77777777" w:rsidTr="00FE0A0A">
        <w:trPr>
          <w:cantSplit/>
        </w:trPr>
        <w:tc>
          <w:tcPr>
            <w:tcW w:w="6412" w:type="dxa"/>
            <w:tcBorders>
              <w:bottom w:val="single" w:sz="6" w:space="0" w:color="0075C9"/>
            </w:tcBorders>
            <w:tcMar>
              <w:top w:w="0" w:type="dxa"/>
              <w:left w:w="0" w:type="dxa"/>
              <w:bottom w:w="40" w:type="dxa"/>
              <w:right w:w="0" w:type="dxa"/>
            </w:tcMar>
            <w:hideMark/>
          </w:tcPr>
          <w:p w14:paraId="69458B26"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1744" w:type="dxa"/>
            <w:tcBorders>
              <w:bottom w:val="single" w:sz="6" w:space="0" w:color="0075C9"/>
            </w:tcBorders>
            <w:noWrap/>
            <w:tcMar>
              <w:top w:w="0" w:type="dxa"/>
              <w:left w:w="144" w:type="dxa"/>
              <w:bottom w:w="0" w:type="dxa"/>
              <w:right w:w="0" w:type="dxa"/>
            </w:tcMar>
            <w:vAlign w:val="bottom"/>
            <w:hideMark/>
          </w:tcPr>
          <w:p w14:paraId="2BF81E80" w14:textId="77777777" w:rsidR="00D246A9" w:rsidRDefault="00D246A9">
            <w:pPr>
              <w:pStyle w:val="NormalWeb"/>
              <w:tabs>
                <w:tab w:val="right" w:pos="1560"/>
                <w:tab w:val="decimal" w:pos="1600"/>
              </w:tabs>
              <w:spacing w:before="0" w:beforeAutospacing="0" w:after="20" w:afterAutospacing="0"/>
              <w:rPr>
                <w:rFonts w:ascii="Arial" w:hAnsi="Arial" w:cs="Arial"/>
                <w:sz w:val="18"/>
                <w:szCs w:val="18"/>
              </w:rPr>
            </w:pPr>
            <w:r>
              <w:rPr>
                <w:rFonts w:ascii="Arial" w:hAnsi="Arial" w:cs="Arial"/>
                <w:sz w:val="18"/>
                <w:szCs w:val="18"/>
              </w:rPr>
              <w:tab/>
              <w:t>27,996</w:t>
            </w:r>
            <w:r>
              <w:rPr>
                <w:rFonts w:ascii="Arial" w:hAnsi="Arial" w:cs="Arial"/>
                <w:sz w:val="18"/>
                <w:szCs w:val="18"/>
              </w:rPr>
              <w:tab/>
            </w:r>
          </w:p>
        </w:tc>
        <w:tc>
          <w:tcPr>
            <w:tcW w:w="1304" w:type="dxa"/>
            <w:tcBorders>
              <w:bottom w:val="single" w:sz="6" w:space="0" w:color="0075C9"/>
            </w:tcBorders>
            <w:noWrap/>
            <w:tcMar>
              <w:top w:w="0" w:type="dxa"/>
              <w:left w:w="144" w:type="dxa"/>
              <w:bottom w:w="0" w:type="dxa"/>
              <w:right w:w="0" w:type="dxa"/>
            </w:tcMar>
            <w:vAlign w:val="bottom"/>
            <w:hideMark/>
          </w:tcPr>
          <w:p w14:paraId="68B6EB57" w14:textId="77777777" w:rsidR="00D246A9" w:rsidRDefault="00D246A9">
            <w:pPr>
              <w:pStyle w:val="NormalWeb"/>
              <w:tabs>
                <w:tab w:val="right" w:pos="1120"/>
                <w:tab w:val="decimal" w:pos="1160"/>
              </w:tabs>
              <w:spacing w:before="0" w:beforeAutospacing="0" w:after="20" w:afterAutospacing="0"/>
              <w:rPr>
                <w:rFonts w:ascii="Arial" w:hAnsi="Arial" w:cs="Arial"/>
                <w:sz w:val="18"/>
                <w:szCs w:val="18"/>
              </w:rPr>
            </w:pPr>
            <w:r>
              <w:rPr>
                <w:rFonts w:ascii="Arial" w:hAnsi="Arial" w:cs="Arial"/>
                <w:sz w:val="18"/>
                <w:szCs w:val="18"/>
              </w:rPr>
              <w:tab/>
              <w:t>27,996</w:t>
            </w:r>
            <w:r>
              <w:rPr>
                <w:rFonts w:ascii="Arial" w:hAnsi="Arial" w:cs="Arial"/>
                <w:sz w:val="18"/>
                <w:szCs w:val="18"/>
              </w:rPr>
              <w:tab/>
            </w:r>
          </w:p>
        </w:tc>
        <w:tc>
          <w:tcPr>
            <w:tcW w:w="1340" w:type="dxa"/>
            <w:tcBorders>
              <w:bottom w:val="single" w:sz="6" w:space="0" w:color="0075C9"/>
            </w:tcBorders>
            <w:tcMar>
              <w:top w:w="0" w:type="dxa"/>
              <w:left w:w="0" w:type="dxa"/>
              <w:bottom w:w="40" w:type="dxa"/>
              <w:right w:w="0" w:type="dxa"/>
            </w:tcMar>
            <w:vAlign w:val="bottom"/>
            <w:hideMark/>
          </w:tcPr>
          <w:p w14:paraId="4C6F5673" w14:textId="77777777" w:rsidR="00D246A9" w:rsidRDefault="00D246A9">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ab/>
              <w:t>14,640,000</w:t>
            </w:r>
            <w:r>
              <w:rPr>
                <w:rFonts w:ascii="Arial" w:hAnsi="Arial" w:cs="Arial"/>
                <w:sz w:val="18"/>
                <w:szCs w:val="18"/>
              </w:rPr>
              <w:tab/>
            </w:r>
          </w:p>
        </w:tc>
      </w:tr>
      <w:tr w:rsidR="00D246A9" w14:paraId="22B86DF7" w14:textId="77777777" w:rsidTr="00FE0A0A">
        <w:trPr>
          <w:cantSplit/>
        </w:trPr>
        <w:tc>
          <w:tcPr>
            <w:tcW w:w="6412" w:type="dxa"/>
            <w:tcBorders>
              <w:bottom w:val="single" w:sz="6" w:space="0" w:color="0075C9"/>
            </w:tcBorders>
            <w:tcMar>
              <w:top w:w="0" w:type="dxa"/>
              <w:left w:w="0" w:type="dxa"/>
              <w:bottom w:w="40" w:type="dxa"/>
              <w:right w:w="0" w:type="dxa"/>
            </w:tcMar>
            <w:hideMark/>
          </w:tcPr>
          <w:p w14:paraId="38EE092C"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1744" w:type="dxa"/>
            <w:tcBorders>
              <w:bottom w:val="single" w:sz="6" w:space="0" w:color="0075C9"/>
            </w:tcBorders>
            <w:noWrap/>
            <w:tcMar>
              <w:top w:w="0" w:type="dxa"/>
              <w:left w:w="144" w:type="dxa"/>
              <w:bottom w:w="0" w:type="dxa"/>
              <w:right w:w="0" w:type="dxa"/>
            </w:tcMar>
            <w:vAlign w:val="bottom"/>
            <w:hideMark/>
          </w:tcPr>
          <w:p w14:paraId="1EE2B3E7" w14:textId="77777777" w:rsidR="00D246A9" w:rsidRDefault="00D246A9">
            <w:pPr>
              <w:pStyle w:val="NormalWeb"/>
              <w:tabs>
                <w:tab w:val="right" w:pos="1560"/>
                <w:tab w:val="decimal" w:pos="1600"/>
              </w:tabs>
              <w:spacing w:before="0" w:beforeAutospacing="0" w:after="20" w:afterAutospacing="0"/>
              <w:rPr>
                <w:rFonts w:ascii="Arial" w:hAnsi="Arial" w:cs="Arial"/>
                <w:sz w:val="18"/>
                <w:szCs w:val="18"/>
              </w:rPr>
            </w:pPr>
            <w:r>
              <w:rPr>
                <w:rFonts w:ascii="Arial" w:hAnsi="Arial" w:cs="Arial"/>
                <w:sz w:val="18"/>
                <w:szCs w:val="18"/>
              </w:rPr>
              <w:tab/>
              <w:t>29,641</w:t>
            </w:r>
            <w:r>
              <w:rPr>
                <w:rFonts w:ascii="Arial" w:hAnsi="Arial" w:cs="Arial"/>
                <w:sz w:val="18"/>
                <w:szCs w:val="18"/>
              </w:rPr>
              <w:tab/>
            </w:r>
          </w:p>
        </w:tc>
        <w:tc>
          <w:tcPr>
            <w:tcW w:w="1304" w:type="dxa"/>
            <w:tcBorders>
              <w:bottom w:val="single" w:sz="6" w:space="0" w:color="0075C9"/>
            </w:tcBorders>
            <w:noWrap/>
            <w:tcMar>
              <w:top w:w="0" w:type="dxa"/>
              <w:left w:w="144" w:type="dxa"/>
              <w:bottom w:w="0" w:type="dxa"/>
              <w:right w:w="0" w:type="dxa"/>
            </w:tcMar>
            <w:vAlign w:val="bottom"/>
            <w:hideMark/>
          </w:tcPr>
          <w:p w14:paraId="7A1C735D" w14:textId="77777777" w:rsidR="00D246A9" w:rsidRDefault="00D246A9">
            <w:pPr>
              <w:pStyle w:val="NormalWeb"/>
              <w:tabs>
                <w:tab w:val="right" w:pos="1120"/>
                <w:tab w:val="decimal" w:pos="1160"/>
              </w:tabs>
              <w:spacing w:before="0" w:beforeAutospacing="0" w:after="20" w:afterAutospacing="0"/>
              <w:rPr>
                <w:rFonts w:ascii="Arial" w:hAnsi="Arial" w:cs="Arial"/>
                <w:sz w:val="18"/>
                <w:szCs w:val="18"/>
              </w:rPr>
            </w:pPr>
            <w:r>
              <w:rPr>
                <w:rFonts w:ascii="Arial" w:hAnsi="Arial" w:cs="Arial"/>
                <w:sz w:val="18"/>
                <w:szCs w:val="18"/>
              </w:rPr>
              <w:tab/>
              <w:t>29,641</w:t>
            </w:r>
            <w:r>
              <w:rPr>
                <w:rFonts w:ascii="Arial" w:hAnsi="Arial" w:cs="Arial"/>
                <w:sz w:val="18"/>
                <w:szCs w:val="18"/>
              </w:rPr>
              <w:tab/>
            </w:r>
          </w:p>
        </w:tc>
        <w:tc>
          <w:tcPr>
            <w:tcW w:w="1340" w:type="dxa"/>
            <w:tcBorders>
              <w:bottom w:val="single" w:sz="6" w:space="0" w:color="0075C9"/>
            </w:tcBorders>
            <w:tcMar>
              <w:top w:w="0" w:type="dxa"/>
              <w:left w:w="0" w:type="dxa"/>
              <w:bottom w:w="40" w:type="dxa"/>
              <w:right w:w="0" w:type="dxa"/>
            </w:tcMar>
            <w:vAlign w:val="bottom"/>
            <w:hideMark/>
          </w:tcPr>
          <w:p w14:paraId="3082BDCF" w14:textId="77777777" w:rsidR="00D246A9" w:rsidRDefault="00D246A9">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ab/>
              <w:t>15,500,000</w:t>
            </w:r>
            <w:r>
              <w:rPr>
                <w:rFonts w:ascii="Arial" w:hAnsi="Arial" w:cs="Arial"/>
                <w:sz w:val="18"/>
                <w:szCs w:val="18"/>
              </w:rPr>
              <w:tab/>
            </w:r>
          </w:p>
        </w:tc>
      </w:tr>
      <w:tr w:rsidR="00D246A9" w14:paraId="659796CD" w14:textId="77777777" w:rsidTr="00FE0A0A">
        <w:trPr>
          <w:cantSplit/>
        </w:trPr>
        <w:tc>
          <w:tcPr>
            <w:tcW w:w="6412" w:type="dxa"/>
            <w:tcBorders>
              <w:bottom w:val="single" w:sz="6" w:space="0" w:color="0075C9"/>
            </w:tcBorders>
            <w:tcMar>
              <w:top w:w="0" w:type="dxa"/>
              <w:left w:w="0" w:type="dxa"/>
              <w:bottom w:w="40" w:type="dxa"/>
              <w:right w:w="0" w:type="dxa"/>
            </w:tcMar>
            <w:hideMark/>
          </w:tcPr>
          <w:p w14:paraId="535D3B78"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1744" w:type="dxa"/>
            <w:tcBorders>
              <w:bottom w:val="single" w:sz="6" w:space="0" w:color="0075C9"/>
            </w:tcBorders>
            <w:noWrap/>
            <w:tcMar>
              <w:top w:w="0" w:type="dxa"/>
              <w:left w:w="144" w:type="dxa"/>
              <w:bottom w:w="0" w:type="dxa"/>
              <w:right w:w="0" w:type="dxa"/>
            </w:tcMar>
            <w:vAlign w:val="bottom"/>
            <w:hideMark/>
          </w:tcPr>
          <w:p w14:paraId="3ABF5AFD" w14:textId="77777777" w:rsidR="00D246A9" w:rsidRDefault="00D246A9">
            <w:pPr>
              <w:pStyle w:val="NormalWeb"/>
              <w:tabs>
                <w:tab w:val="right" w:pos="1560"/>
                <w:tab w:val="decimal" w:pos="1600"/>
              </w:tabs>
              <w:spacing w:before="0" w:beforeAutospacing="0" w:after="20" w:afterAutospacing="0"/>
              <w:rPr>
                <w:rFonts w:ascii="Arial" w:hAnsi="Arial" w:cs="Arial"/>
                <w:sz w:val="18"/>
                <w:szCs w:val="18"/>
              </w:rPr>
            </w:pPr>
            <w:r>
              <w:rPr>
                <w:rFonts w:ascii="Arial" w:hAnsi="Arial" w:cs="Arial"/>
                <w:sz w:val="18"/>
                <w:szCs w:val="18"/>
              </w:rPr>
              <w:tab/>
              <w:t>14,342</w:t>
            </w:r>
            <w:r>
              <w:rPr>
                <w:rFonts w:ascii="Arial" w:hAnsi="Arial" w:cs="Arial"/>
                <w:sz w:val="18"/>
                <w:szCs w:val="18"/>
              </w:rPr>
              <w:tab/>
            </w:r>
          </w:p>
        </w:tc>
        <w:tc>
          <w:tcPr>
            <w:tcW w:w="1304" w:type="dxa"/>
            <w:tcBorders>
              <w:bottom w:val="single" w:sz="6" w:space="0" w:color="0075C9"/>
            </w:tcBorders>
            <w:noWrap/>
            <w:tcMar>
              <w:top w:w="0" w:type="dxa"/>
              <w:left w:w="144" w:type="dxa"/>
              <w:bottom w:w="0" w:type="dxa"/>
              <w:right w:w="0" w:type="dxa"/>
            </w:tcMar>
            <w:vAlign w:val="bottom"/>
            <w:hideMark/>
          </w:tcPr>
          <w:p w14:paraId="5A126111" w14:textId="77777777" w:rsidR="00D246A9" w:rsidRDefault="00D246A9">
            <w:pPr>
              <w:pStyle w:val="NormalWeb"/>
              <w:tabs>
                <w:tab w:val="right" w:pos="1120"/>
                <w:tab w:val="decimal" w:pos="1160"/>
              </w:tabs>
              <w:spacing w:before="0" w:beforeAutospacing="0" w:after="20" w:afterAutospacing="0"/>
              <w:rPr>
                <w:rFonts w:ascii="Arial" w:hAnsi="Arial" w:cs="Arial"/>
                <w:sz w:val="18"/>
                <w:szCs w:val="18"/>
              </w:rPr>
            </w:pPr>
            <w:r>
              <w:rPr>
                <w:rFonts w:ascii="Arial" w:hAnsi="Arial" w:cs="Arial"/>
                <w:sz w:val="18"/>
                <w:szCs w:val="18"/>
              </w:rPr>
              <w:tab/>
              <w:t>14,342</w:t>
            </w:r>
            <w:r>
              <w:rPr>
                <w:rFonts w:ascii="Arial" w:hAnsi="Arial" w:cs="Arial"/>
                <w:sz w:val="18"/>
                <w:szCs w:val="18"/>
              </w:rPr>
              <w:tab/>
            </w:r>
          </w:p>
        </w:tc>
        <w:tc>
          <w:tcPr>
            <w:tcW w:w="1340" w:type="dxa"/>
            <w:tcBorders>
              <w:bottom w:val="single" w:sz="6" w:space="0" w:color="0075C9"/>
            </w:tcBorders>
            <w:tcMar>
              <w:top w:w="0" w:type="dxa"/>
              <w:left w:w="0" w:type="dxa"/>
              <w:bottom w:w="40" w:type="dxa"/>
              <w:right w:w="0" w:type="dxa"/>
            </w:tcMar>
            <w:vAlign w:val="bottom"/>
            <w:hideMark/>
          </w:tcPr>
          <w:p w14:paraId="0E22BC1F" w14:textId="77777777" w:rsidR="00D246A9" w:rsidRDefault="00D246A9">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ab/>
              <w:t>7,500,000</w:t>
            </w:r>
            <w:r>
              <w:rPr>
                <w:rFonts w:ascii="Arial" w:hAnsi="Arial" w:cs="Arial"/>
                <w:sz w:val="18"/>
                <w:szCs w:val="18"/>
              </w:rPr>
              <w:tab/>
            </w:r>
          </w:p>
        </w:tc>
      </w:tr>
    </w:tbl>
    <w:p w14:paraId="03811064"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 PSAs vest in full following the end of the three-year performance period, with the number of shares earned determined based on performance against goals set for each year in the period and relative TSR results for the period. </w:t>
      </w:r>
    </w:p>
    <w:p w14:paraId="095E7E9C"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SAs vest 25% on August 31, 2023, and 12.5% each six months thereafter until fully vested. Vesting is subject to continued employment except as described on pages 48-49 below. </w:t>
      </w:r>
    </w:p>
    <w:p w14:paraId="092BD595"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Awarded value (in dollars) was converted to shares using the closing share price on August 31, 2022, rounded up to a whole number. </w:t>
      </w:r>
    </w:p>
    <w:p w14:paraId="71AD5D5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amounts listed in the table above for fiscal year 2023 PSAs will not match the amounts in the “Stock Awards” column in the Summary Compensation Table or the Grants of Plan-Based Awards table. Because the grant date of a PSA occurs when the performance targets are set, and targets under our PSA awards are established annually, SAs listed in the Summary Compensation Table and Grants of Plan-Based Awards table include portions of current and prior year PSA awards, as described in more detail in Note (2) to the Summary Compensation Table on page 51. </w:t>
      </w:r>
    </w:p>
    <w:p w14:paraId="22E3A762" w14:textId="77777777" w:rsidR="00D246A9" w:rsidRDefault="00D246A9" w:rsidP="008E18EB">
      <w:pPr>
        <w:pStyle w:val="Heading4"/>
      </w:pPr>
      <w:r>
        <w:t xml:space="preserve">Fiscal Year 2021 PSAs (Completed Performance Period) </w:t>
      </w:r>
    </w:p>
    <w:p w14:paraId="061E7FFB" w14:textId="77777777" w:rsidR="00502DCA" w:rsidRDefault="00D246A9" w:rsidP="00502DCA">
      <w:pPr>
        <w:pStyle w:val="NormalWeb"/>
        <w:spacing w:before="0" w:beforeAutospacing="0" w:after="240" w:afterAutospacing="0"/>
        <w:rPr>
          <w:rFonts w:ascii="Arial" w:hAnsi="Arial" w:cs="Arial"/>
          <w:sz w:val="18"/>
          <w:szCs w:val="18"/>
        </w:rPr>
      </w:pPr>
      <w:r>
        <w:rPr>
          <w:rFonts w:ascii="Arial" w:hAnsi="Arial" w:cs="Arial"/>
          <w:sz w:val="18"/>
          <w:szCs w:val="18"/>
        </w:rPr>
        <w:t>Our Compensation Committee (and for Mr. Nadella, the independent members of our Board) granted PSAs in fiscal year 2021 that pay out based on specific pre-</w:t>
      </w:r>
      <w:proofErr w:type="gramStart"/>
      <w:r>
        <w:rPr>
          <w:rFonts w:ascii="Arial" w:hAnsi="Arial" w:cs="Arial"/>
          <w:sz w:val="18"/>
          <w:szCs w:val="18"/>
        </w:rPr>
        <w:t>established,</w:t>
      </w:r>
      <w:proofErr w:type="gramEnd"/>
      <w:r>
        <w:rPr>
          <w:rFonts w:ascii="Arial" w:hAnsi="Arial" w:cs="Arial"/>
          <w:sz w:val="18"/>
          <w:szCs w:val="18"/>
        </w:rPr>
        <w:t xml:space="preserve"> performance goals and strategic performance objectives tied to creating long-term shareholder value as well as our TSR performance relative to the S&amp;P 500. Performance was measured over the three-fiscal year performance period ending June 30, 2023. </w:t>
      </w:r>
    </w:p>
    <w:p w14:paraId="78BB7B7F" w14:textId="3384BB9F" w:rsidR="00502DCA" w:rsidRDefault="00502DCA" w:rsidP="00502DCA">
      <w:pPr>
        <w:pStyle w:val="NormalWeb"/>
        <w:spacing w:before="240" w:beforeAutospacing="0" w:after="240" w:afterAutospacing="0"/>
        <w:rPr>
          <w:rFonts w:ascii="Arial" w:hAnsi="Arial" w:cs="Arial"/>
          <w:sz w:val="18"/>
          <w:szCs w:val="18"/>
        </w:rPr>
      </w:pPr>
      <w:r>
        <w:rPr>
          <w:rFonts w:ascii="Arial" w:hAnsi="Arial" w:cs="Arial"/>
          <w:noProof/>
          <w:sz w:val="18"/>
          <w:szCs w:val="18"/>
        </w:rPr>
        <w:drawing>
          <wp:inline distT="0" distB="0" distL="0" distR="0" wp14:anchorId="2D936220" wp14:editId="221989C8">
            <wp:extent cx="6775450" cy="1273534"/>
            <wp:effectExtent l="0" t="0" r="6350" b="3175"/>
            <wp:docPr id="2022908866" name="Picture 38" descr="The FY21 PSA represents three core metric years, with FY21 being Year 1 and representing a payout percentage of 144.07%; FY22 being Year 2 and representing a payout percentage of 95.75%; and FY23 being Year 3 representing a payout percentage of 99.65%. &#10;&#10;Together, these combine to form the 3-Year Performance Period spanning FY21 through FY23, across which the 3-Year Core Metric Average was 113.16%, which is multiplied by the 3-year rTSR modifier of 128.95%, resulting in a final payout of 1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08866" name="Picture 38" descr="The FY21 PSA represents three core metric years, with FY21 being Year 1 and representing a payout percentage of 144.07%; FY22 being Year 2 and representing a payout percentage of 95.75%; and FY23 being Year 3 representing a payout percentage of 99.65%. &#10;&#10;Together, these combine to form the 3-Year Performance Period spanning FY21 through FY23, across which the 3-Year Core Metric Average was 113.16%, which is multiplied by the 3-year rTSR modifier of 128.95%, resulting in a final payout of 145.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75450" cy="1273534"/>
                    </a:xfrm>
                    <a:prstGeom prst="rect">
                      <a:avLst/>
                    </a:prstGeom>
                    <a:noFill/>
                    <a:ln>
                      <a:noFill/>
                    </a:ln>
                  </pic:spPr>
                </pic:pic>
              </a:graphicData>
            </a:graphic>
          </wp:inline>
        </w:drawing>
      </w:r>
    </w:p>
    <w:p w14:paraId="31B2CD8F" w14:textId="77777777" w:rsidR="00502DCA" w:rsidRDefault="00502DCA">
      <w:pPr>
        <w:rPr>
          <w:rFonts w:ascii="Arial" w:hAnsi="Arial" w:cs="Arial"/>
          <w:sz w:val="18"/>
          <w:szCs w:val="18"/>
        </w:rPr>
      </w:pPr>
      <w:r>
        <w:rPr>
          <w:rFonts w:ascii="Arial" w:hAnsi="Arial" w:cs="Arial"/>
          <w:sz w:val="18"/>
          <w:szCs w:val="18"/>
        </w:rPr>
        <w:br w:type="page"/>
      </w:r>
    </w:p>
    <w:p w14:paraId="0C99D2BB" w14:textId="4B7DBC6F" w:rsidR="00D246A9" w:rsidRPr="00306F7C" w:rsidRDefault="00D246A9" w:rsidP="00502DCA">
      <w:pPr>
        <w:pStyle w:val="NormalWeb"/>
        <w:spacing w:before="120" w:beforeAutospacing="0" w:after="0" w:afterAutospacing="0"/>
        <w:rPr>
          <w:rFonts w:ascii="Arial" w:hAnsi="Arial" w:cs="Arial"/>
          <w:sz w:val="18"/>
          <w:szCs w:val="18"/>
        </w:rPr>
      </w:pPr>
      <w:r>
        <w:rPr>
          <w:rFonts w:ascii="Arial" w:hAnsi="Arial" w:cs="Arial"/>
          <w:sz w:val="18"/>
          <w:szCs w:val="18"/>
        </w:rPr>
        <w:lastRenderedPageBreak/>
        <w:t xml:space="preserve">The actual performance under the fiscal year 2021 PSAs reflected the strong business achievement on core metrics and Microsoft’s relative TSR during this period. Performance against the core metrics under these PSAs is shown in the following table: </w:t>
      </w:r>
    </w:p>
    <w:tbl>
      <w:tblPr>
        <w:tblW w:w="0" w:type="auto"/>
        <w:jc w:val="center"/>
        <w:tblLayout w:type="fixed"/>
        <w:tblCellMar>
          <w:left w:w="0" w:type="dxa"/>
          <w:right w:w="0" w:type="dxa"/>
        </w:tblCellMar>
        <w:tblLook w:val="0600" w:firstRow="0" w:lastRow="0" w:firstColumn="0" w:lastColumn="0" w:noHBand="1" w:noVBand="1"/>
      </w:tblPr>
      <w:tblGrid>
        <w:gridCol w:w="9504"/>
      </w:tblGrid>
      <w:tr w:rsidR="007C020B" w14:paraId="2C521084" w14:textId="77777777" w:rsidTr="007C020B">
        <w:trPr>
          <w:cantSplit/>
          <w:trHeight w:val="276"/>
          <w:jc w:val="center"/>
        </w:trPr>
        <w:tc>
          <w:tcPr>
            <w:tcW w:w="9504" w:type="dxa"/>
            <w:vMerge w:val="restart"/>
            <w:vAlign w:val="center"/>
            <w:hideMark/>
          </w:tcPr>
          <w:p w14:paraId="6464E9A3" w14:textId="3FFE3152" w:rsidR="007C020B" w:rsidRDefault="007C020B" w:rsidP="007C020B">
            <w:pPr>
              <w:pStyle w:val="NormalWeb"/>
              <w:spacing w:before="0" w:beforeAutospacing="0" w:after="0" w:afterAutospacing="0"/>
              <w:jc w:val="center"/>
              <w:rPr>
                <w:rFonts w:ascii="Arial" w:hAnsi="Arial" w:cs="Arial"/>
                <w:sz w:val="16"/>
                <w:szCs w:val="16"/>
              </w:rPr>
            </w:pPr>
            <w:r>
              <w:rPr>
                <w:rFonts w:ascii="Arial" w:hAnsi="Arial" w:cs="Arial"/>
                <w:b/>
                <w:bCs/>
              </w:rPr>
              <w:t>Fiscal Year 2021 PSA Core Metric Performance and Payout Percentages</w:t>
            </w:r>
          </w:p>
        </w:tc>
      </w:tr>
      <w:tr w:rsidR="007C020B" w14:paraId="3570B9E0" w14:textId="77777777" w:rsidTr="007C020B">
        <w:trPr>
          <w:cantSplit/>
          <w:trHeight w:val="276"/>
          <w:jc w:val="center"/>
        </w:trPr>
        <w:tc>
          <w:tcPr>
            <w:tcW w:w="9504" w:type="dxa"/>
            <w:vMerge/>
            <w:vAlign w:val="center"/>
            <w:hideMark/>
          </w:tcPr>
          <w:p w14:paraId="1D5BAAC0" w14:textId="77777777" w:rsidR="007C020B" w:rsidRPr="00306F7C" w:rsidRDefault="007C020B">
            <w:pPr>
              <w:rPr>
                <w:rFonts w:ascii="Arial" w:hAnsi="Arial" w:cs="Arial"/>
                <w:sz w:val="16"/>
                <w:szCs w:val="16"/>
              </w:rPr>
            </w:pPr>
          </w:p>
        </w:tc>
      </w:tr>
    </w:tbl>
    <w:p w14:paraId="4097902E" w14:textId="77777777" w:rsidR="00D246A9" w:rsidRDefault="00D246A9">
      <w:pPr>
        <w:rPr>
          <w:vanish/>
        </w:rPr>
      </w:pPr>
    </w:p>
    <w:tbl>
      <w:tblPr>
        <w:tblW w:w="0" w:type="auto"/>
        <w:tblLayout w:type="fixed"/>
        <w:tblCellMar>
          <w:left w:w="0" w:type="dxa"/>
          <w:right w:w="0" w:type="dxa"/>
        </w:tblCellMar>
        <w:tblLook w:val="04A0" w:firstRow="1" w:lastRow="0" w:firstColumn="1" w:lastColumn="0" w:noHBand="0" w:noVBand="1"/>
      </w:tblPr>
      <w:tblGrid>
        <w:gridCol w:w="3352"/>
        <w:gridCol w:w="1144"/>
        <w:gridCol w:w="1144"/>
        <w:gridCol w:w="1104"/>
        <w:gridCol w:w="944"/>
        <w:gridCol w:w="1124"/>
        <w:gridCol w:w="944"/>
        <w:gridCol w:w="1044"/>
      </w:tblGrid>
      <w:tr w:rsidR="00D246A9" w14:paraId="4A9D45B0" w14:textId="77777777" w:rsidTr="00FE0A0A">
        <w:trPr>
          <w:cantSplit/>
          <w:tblHeader/>
        </w:trPr>
        <w:tc>
          <w:tcPr>
            <w:tcW w:w="3352" w:type="dxa"/>
            <w:tcBorders>
              <w:bottom w:val="single" w:sz="8" w:space="0" w:color="000000"/>
            </w:tcBorders>
            <w:tcMar>
              <w:top w:w="0" w:type="dxa"/>
              <w:left w:w="0" w:type="dxa"/>
              <w:bottom w:w="40" w:type="dxa"/>
              <w:right w:w="0" w:type="dxa"/>
            </w:tcMar>
            <w:vAlign w:val="bottom"/>
            <w:hideMark/>
          </w:tcPr>
          <w:p w14:paraId="2C2BAB08" w14:textId="77777777" w:rsidR="00D246A9" w:rsidRPr="00306F7C" w:rsidRDefault="00D246A9">
            <w:pPr>
              <w:pStyle w:val="NormalWeb"/>
              <w:keepNext/>
              <w:spacing w:before="0" w:beforeAutospacing="0" w:after="20" w:afterAutospacing="0"/>
              <w:ind w:firstLine="120"/>
              <w:rPr>
                <w:rFonts w:ascii="Arial" w:hAnsi="Arial" w:cs="Arial"/>
                <w:sz w:val="16"/>
                <w:szCs w:val="16"/>
              </w:rPr>
            </w:pPr>
            <w:r>
              <w:rPr>
                <w:rFonts w:ascii="Arial" w:hAnsi="Arial" w:cs="Arial"/>
                <w:b/>
                <w:bCs/>
                <w:sz w:val="16"/>
                <w:szCs w:val="16"/>
              </w:rPr>
              <w:t>PSA Core Metrics</w:t>
            </w:r>
          </w:p>
        </w:tc>
        <w:tc>
          <w:tcPr>
            <w:tcW w:w="1144" w:type="dxa"/>
            <w:tcBorders>
              <w:bottom w:val="single" w:sz="8" w:space="0" w:color="000000"/>
            </w:tcBorders>
            <w:tcMar>
              <w:top w:w="0" w:type="dxa"/>
              <w:left w:w="144" w:type="dxa"/>
              <w:bottom w:w="0" w:type="dxa"/>
              <w:right w:w="0" w:type="dxa"/>
            </w:tcMar>
            <w:vAlign w:val="bottom"/>
            <w:hideMark/>
          </w:tcPr>
          <w:p w14:paraId="224D2262" w14:textId="77777777" w:rsidR="00D246A9" w:rsidRDefault="00D246A9">
            <w:pPr>
              <w:jc w:val="right"/>
              <w:rPr>
                <w:rFonts w:ascii="Arial" w:hAnsi="Arial" w:cs="Arial"/>
                <w:sz w:val="16"/>
                <w:szCs w:val="16"/>
              </w:rPr>
            </w:pPr>
            <w:r>
              <w:rPr>
                <w:rFonts w:ascii="Arial" w:hAnsi="Arial" w:cs="Arial"/>
                <w:b/>
                <w:bCs/>
                <w:sz w:val="16"/>
                <w:szCs w:val="16"/>
              </w:rPr>
              <w:t>Aggregate</w:t>
            </w:r>
            <w:r>
              <w:rPr>
                <w:rFonts w:ascii="Arial" w:hAnsi="Arial" w:cs="Arial"/>
                <w:b/>
                <w:bCs/>
                <w:sz w:val="16"/>
                <w:szCs w:val="16"/>
              </w:rPr>
              <w:br/>
              <w:t>Weighting</w:t>
            </w:r>
          </w:p>
        </w:tc>
        <w:tc>
          <w:tcPr>
            <w:tcW w:w="1144" w:type="dxa"/>
            <w:tcBorders>
              <w:bottom w:val="single" w:sz="8" w:space="0" w:color="000000"/>
            </w:tcBorders>
            <w:tcMar>
              <w:top w:w="0" w:type="dxa"/>
              <w:left w:w="144" w:type="dxa"/>
              <w:bottom w:w="0" w:type="dxa"/>
              <w:right w:w="0" w:type="dxa"/>
            </w:tcMar>
            <w:vAlign w:val="bottom"/>
            <w:hideMark/>
          </w:tcPr>
          <w:p w14:paraId="042CC03A" w14:textId="77777777" w:rsidR="00D246A9" w:rsidRDefault="00D246A9">
            <w:pPr>
              <w:jc w:val="right"/>
              <w:rPr>
                <w:rFonts w:ascii="Arial" w:hAnsi="Arial" w:cs="Arial"/>
                <w:sz w:val="16"/>
                <w:szCs w:val="16"/>
              </w:rPr>
            </w:pPr>
            <w:r>
              <w:rPr>
                <w:rFonts w:ascii="Arial" w:hAnsi="Arial" w:cs="Arial"/>
                <w:b/>
                <w:bCs/>
                <w:sz w:val="16"/>
                <w:szCs w:val="16"/>
              </w:rPr>
              <w:t>Weighting</w:t>
            </w:r>
          </w:p>
        </w:tc>
        <w:tc>
          <w:tcPr>
            <w:tcW w:w="1104" w:type="dxa"/>
            <w:tcBorders>
              <w:bottom w:val="single" w:sz="8" w:space="0" w:color="000000"/>
            </w:tcBorders>
            <w:tcMar>
              <w:top w:w="0" w:type="dxa"/>
              <w:left w:w="144" w:type="dxa"/>
              <w:bottom w:w="0" w:type="dxa"/>
              <w:right w:w="0" w:type="dxa"/>
            </w:tcMar>
            <w:vAlign w:val="bottom"/>
            <w:hideMark/>
          </w:tcPr>
          <w:p w14:paraId="43D73482" w14:textId="77777777" w:rsidR="00D246A9" w:rsidRDefault="00D246A9">
            <w:pPr>
              <w:jc w:val="center"/>
              <w:rPr>
                <w:rFonts w:ascii="Arial" w:hAnsi="Arial" w:cs="Arial"/>
                <w:sz w:val="16"/>
                <w:szCs w:val="16"/>
              </w:rPr>
            </w:pPr>
            <w:r>
              <w:rPr>
                <w:rFonts w:ascii="Arial" w:hAnsi="Arial" w:cs="Arial"/>
                <w:b/>
                <w:bCs/>
                <w:sz w:val="16"/>
                <w:szCs w:val="16"/>
              </w:rPr>
              <w:t>Threshold</w:t>
            </w:r>
          </w:p>
        </w:tc>
        <w:tc>
          <w:tcPr>
            <w:tcW w:w="944" w:type="dxa"/>
            <w:tcBorders>
              <w:bottom w:val="single" w:sz="8" w:space="0" w:color="000000"/>
            </w:tcBorders>
            <w:tcMar>
              <w:top w:w="0" w:type="dxa"/>
              <w:left w:w="144" w:type="dxa"/>
              <w:bottom w:w="0" w:type="dxa"/>
              <w:right w:w="0" w:type="dxa"/>
            </w:tcMar>
            <w:vAlign w:val="bottom"/>
            <w:hideMark/>
          </w:tcPr>
          <w:p w14:paraId="320624FC" w14:textId="77777777" w:rsidR="00D246A9" w:rsidRDefault="00D246A9">
            <w:pPr>
              <w:jc w:val="right"/>
              <w:rPr>
                <w:rFonts w:ascii="Arial" w:hAnsi="Arial" w:cs="Arial"/>
                <w:sz w:val="16"/>
                <w:szCs w:val="16"/>
              </w:rPr>
            </w:pPr>
            <w:r>
              <w:rPr>
                <w:rFonts w:ascii="Arial" w:hAnsi="Arial" w:cs="Arial"/>
                <w:b/>
                <w:bCs/>
                <w:sz w:val="16"/>
                <w:szCs w:val="16"/>
              </w:rPr>
              <w:t>Target</w:t>
            </w:r>
          </w:p>
        </w:tc>
        <w:tc>
          <w:tcPr>
            <w:tcW w:w="1124" w:type="dxa"/>
            <w:tcBorders>
              <w:bottom w:val="single" w:sz="8" w:space="0" w:color="000000"/>
            </w:tcBorders>
            <w:tcMar>
              <w:top w:w="0" w:type="dxa"/>
              <w:left w:w="144" w:type="dxa"/>
              <w:bottom w:w="0" w:type="dxa"/>
              <w:right w:w="0" w:type="dxa"/>
            </w:tcMar>
            <w:vAlign w:val="bottom"/>
            <w:hideMark/>
          </w:tcPr>
          <w:p w14:paraId="30C5B582" w14:textId="77777777" w:rsidR="00D246A9" w:rsidRDefault="00D246A9">
            <w:pPr>
              <w:jc w:val="right"/>
              <w:rPr>
                <w:rFonts w:ascii="Arial" w:hAnsi="Arial" w:cs="Arial"/>
                <w:sz w:val="16"/>
                <w:szCs w:val="16"/>
              </w:rPr>
            </w:pPr>
            <w:r>
              <w:rPr>
                <w:rFonts w:ascii="Arial" w:hAnsi="Arial" w:cs="Arial"/>
                <w:b/>
                <w:bCs/>
                <w:sz w:val="16"/>
                <w:szCs w:val="16"/>
              </w:rPr>
              <w:t>Maximum</w:t>
            </w:r>
          </w:p>
        </w:tc>
        <w:tc>
          <w:tcPr>
            <w:tcW w:w="944" w:type="dxa"/>
            <w:tcBorders>
              <w:bottom w:val="single" w:sz="8" w:space="0" w:color="000000"/>
            </w:tcBorders>
            <w:tcMar>
              <w:top w:w="0" w:type="dxa"/>
              <w:left w:w="144" w:type="dxa"/>
              <w:bottom w:w="0" w:type="dxa"/>
              <w:right w:w="0" w:type="dxa"/>
            </w:tcMar>
            <w:vAlign w:val="bottom"/>
            <w:hideMark/>
          </w:tcPr>
          <w:p w14:paraId="2BD10D86" w14:textId="77777777" w:rsidR="00D246A9" w:rsidRDefault="00D246A9">
            <w:pPr>
              <w:jc w:val="right"/>
              <w:rPr>
                <w:rFonts w:ascii="Arial" w:hAnsi="Arial" w:cs="Arial"/>
                <w:sz w:val="16"/>
                <w:szCs w:val="16"/>
              </w:rPr>
            </w:pPr>
            <w:r>
              <w:rPr>
                <w:rFonts w:ascii="Arial" w:hAnsi="Arial" w:cs="Arial"/>
                <w:b/>
                <w:bCs/>
                <w:sz w:val="16"/>
                <w:szCs w:val="16"/>
              </w:rPr>
              <w:t>Actual</w:t>
            </w:r>
            <w:r>
              <w:rPr>
                <w:rFonts w:ascii="Arial" w:hAnsi="Arial" w:cs="Arial"/>
                <w:b/>
                <w:bCs/>
                <w:sz w:val="16"/>
                <w:szCs w:val="16"/>
              </w:rPr>
              <w:br/>
              <w:t>Result</w:t>
            </w:r>
          </w:p>
        </w:tc>
        <w:tc>
          <w:tcPr>
            <w:tcW w:w="1044" w:type="dxa"/>
            <w:tcBorders>
              <w:bottom w:val="single" w:sz="8" w:space="0" w:color="000000"/>
            </w:tcBorders>
            <w:tcMar>
              <w:top w:w="0" w:type="dxa"/>
              <w:left w:w="144" w:type="dxa"/>
              <w:bottom w:w="0" w:type="dxa"/>
              <w:right w:w="0" w:type="dxa"/>
            </w:tcMar>
            <w:vAlign w:val="bottom"/>
            <w:hideMark/>
          </w:tcPr>
          <w:p w14:paraId="0E00AA98" w14:textId="77777777" w:rsidR="00D246A9" w:rsidRDefault="00D246A9">
            <w:pPr>
              <w:jc w:val="right"/>
              <w:rPr>
                <w:rFonts w:ascii="Arial" w:hAnsi="Arial" w:cs="Arial"/>
                <w:sz w:val="16"/>
                <w:szCs w:val="16"/>
              </w:rPr>
            </w:pPr>
            <w:r>
              <w:rPr>
                <w:rFonts w:ascii="Arial" w:hAnsi="Arial" w:cs="Arial"/>
                <w:b/>
                <w:bCs/>
                <w:sz w:val="16"/>
                <w:szCs w:val="16"/>
              </w:rPr>
              <w:t>Final</w:t>
            </w:r>
            <w:r>
              <w:rPr>
                <w:rFonts w:ascii="Arial" w:hAnsi="Arial" w:cs="Arial"/>
                <w:b/>
                <w:bCs/>
                <w:sz w:val="16"/>
                <w:szCs w:val="16"/>
              </w:rPr>
              <w:br/>
              <w:t>Payout</w:t>
            </w:r>
          </w:p>
        </w:tc>
      </w:tr>
      <w:tr w:rsidR="007C020B" w14:paraId="152AA0C0" w14:textId="77777777" w:rsidTr="002F5D6C">
        <w:trPr>
          <w:cantSplit/>
        </w:trPr>
        <w:tc>
          <w:tcPr>
            <w:tcW w:w="3352" w:type="dxa"/>
            <w:tcBorders>
              <w:bottom w:val="single" w:sz="6" w:space="0" w:color="0075C9"/>
            </w:tcBorders>
            <w:noWrap/>
            <w:tcMar>
              <w:top w:w="0" w:type="dxa"/>
              <w:left w:w="0" w:type="dxa"/>
              <w:bottom w:w="40" w:type="dxa"/>
              <w:right w:w="0" w:type="dxa"/>
            </w:tcMar>
            <w:vAlign w:val="bottom"/>
            <w:hideMark/>
          </w:tcPr>
          <w:p w14:paraId="5F7FDE94" w14:textId="77777777" w:rsidR="007C020B" w:rsidRPr="00306F7C" w:rsidRDefault="007C020B" w:rsidP="007C020B">
            <w:pPr>
              <w:pStyle w:val="NormalWeb"/>
              <w:keepNext/>
              <w:spacing w:before="0" w:beforeAutospacing="0" w:after="0" w:afterAutospacing="0"/>
              <w:ind w:left="113"/>
              <w:rPr>
                <w:rFonts w:ascii="Arial" w:hAnsi="Arial" w:cs="Arial"/>
                <w:sz w:val="17"/>
                <w:szCs w:val="17"/>
              </w:rPr>
            </w:pPr>
            <w:r>
              <w:rPr>
                <w:rFonts w:ascii="Arial" w:hAnsi="Arial" w:cs="Arial"/>
                <w:b/>
                <w:bCs/>
                <w:sz w:val="17"/>
                <w:szCs w:val="17"/>
              </w:rPr>
              <w:t>FY21 Core Metrics – Year 1</w:t>
            </w:r>
            <w:r>
              <w:rPr>
                <w:rFonts w:ascii="Arial" w:hAnsi="Arial" w:cs="Arial"/>
                <w:b/>
                <w:bCs/>
                <w:sz w:val="13"/>
                <w:szCs w:val="13"/>
                <w:vertAlign w:val="superscript"/>
              </w:rPr>
              <w:t>1</w:t>
            </w:r>
          </w:p>
        </w:tc>
        <w:tc>
          <w:tcPr>
            <w:tcW w:w="1144" w:type="dxa"/>
            <w:tcBorders>
              <w:bottom w:val="single" w:sz="6" w:space="0" w:color="0075C9"/>
            </w:tcBorders>
            <w:noWrap/>
            <w:tcMar>
              <w:top w:w="0" w:type="dxa"/>
              <w:left w:w="144" w:type="dxa"/>
              <w:bottom w:w="0" w:type="dxa"/>
              <w:right w:w="0" w:type="dxa"/>
            </w:tcMar>
            <w:hideMark/>
          </w:tcPr>
          <w:p w14:paraId="478ACD26" w14:textId="5CF588B9" w:rsidR="007C020B" w:rsidRDefault="007C020B" w:rsidP="007C020B">
            <w:pPr>
              <w:pStyle w:val="NormalWeb"/>
              <w:tabs>
                <w:tab w:val="right" w:pos="960"/>
                <w:tab w:val="decimal" w:pos="1000"/>
              </w:tabs>
              <w:spacing w:before="0" w:beforeAutospacing="0" w:after="20" w:afterAutospacing="0"/>
              <w:rPr>
                <w:rFonts w:ascii="Arial" w:hAnsi="Arial" w:cs="Arial"/>
                <w:sz w:val="17"/>
                <w:szCs w:val="17"/>
              </w:rPr>
            </w:pPr>
            <w:r w:rsidRPr="00FE0A0A">
              <w:rPr>
                <w:rFonts w:ascii="Arial" w:hAnsi="Arial" w:cs="Arial"/>
                <w:bCs/>
                <w:sz w:val="17"/>
                <w:szCs w:val="17"/>
              </w:rPr>
              <w:tab/>
            </w:r>
            <w:r>
              <w:rPr>
                <w:rFonts w:ascii="Arial" w:hAnsi="Arial" w:cs="Arial"/>
                <w:b/>
                <w:bCs/>
                <w:sz w:val="17"/>
                <w:szCs w:val="17"/>
              </w:rPr>
              <w:t>1/3</w:t>
            </w:r>
            <w:r w:rsidRPr="00FE0A0A">
              <w:rPr>
                <w:rFonts w:ascii="Arial" w:hAnsi="Arial" w:cs="Arial"/>
                <w:bCs/>
                <w:sz w:val="17"/>
                <w:szCs w:val="17"/>
              </w:rPr>
              <w:tab/>
            </w:r>
          </w:p>
        </w:tc>
        <w:tc>
          <w:tcPr>
            <w:tcW w:w="1144" w:type="dxa"/>
            <w:tcBorders>
              <w:bottom w:val="single" w:sz="6" w:space="0" w:color="0075C9"/>
            </w:tcBorders>
            <w:noWrap/>
            <w:tcMar>
              <w:top w:w="0" w:type="dxa"/>
              <w:left w:w="144" w:type="dxa"/>
              <w:bottom w:w="0" w:type="dxa"/>
              <w:right w:w="0" w:type="dxa"/>
            </w:tcMar>
            <w:vAlign w:val="bottom"/>
            <w:hideMark/>
          </w:tcPr>
          <w:p w14:paraId="32ED0E89" w14:textId="00F4B76B" w:rsidR="007C020B" w:rsidRPr="007C020B" w:rsidRDefault="007C020B" w:rsidP="007C020B">
            <w:pPr>
              <w:rPr>
                <w:rFonts w:ascii="Arial" w:hAnsi="Arial" w:cs="Arial"/>
                <w:color w:val="FFFFFF" w:themeColor="background1"/>
                <w:sz w:val="17"/>
                <w:szCs w:val="17"/>
              </w:rPr>
            </w:pPr>
            <w:r w:rsidRPr="007C020B">
              <w:rPr>
                <w:rFonts w:ascii="Arial" w:hAnsi="Arial" w:cs="Arial"/>
                <w:color w:val="FFFFFF" w:themeColor="background1"/>
                <w:sz w:val="17"/>
                <w:szCs w:val="17"/>
              </w:rPr>
              <w:t>NA</w:t>
            </w:r>
          </w:p>
        </w:tc>
        <w:tc>
          <w:tcPr>
            <w:tcW w:w="1104" w:type="dxa"/>
            <w:tcBorders>
              <w:bottom w:val="single" w:sz="6" w:space="0" w:color="0075C9"/>
            </w:tcBorders>
            <w:noWrap/>
            <w:tcMar>
              <w:top w:w="0" w:type="dxa"/>
              <w:left w:w="144" w:type="dxa"/>
              <w:bottom w:w="0" w:type="dxa"/>
              <w:right w:w="0" w:type="dxa"/>
            </w:tcMar>
            <w:hideMark/>
          </w:tcPr>
          <w:p w14:paraId="4B536E8B" w14:textId="39FEF169" w:rsidR="007C020B" w:rsidRPr="007C020B" w:rsidRDefault="007C020B" w:rsidP="007C020B">
            <w:pPr>
              <w:rPr>
                <w:color w:val="FFFFFF" w:themeColor="background1"/>
                <w:sz w:val="20"/>
              </w:rPr>
            </w:pPr>
            <w:r w:rsidRPr="007C020B">
              <w:rPr>
                <w:rFonts w:ascii="Arial" w:hAnsi="Arial" w:cs="Arial"/>
                <w:color w:val="FFFFFF" w:themeColor="background1"/>
                <w:sz w:val="17"/>
                <w:szCs w:val="17"/>
              </w:rPr>
              <w:t>NA</w:t>
            </w:r>
          </w:p>
        </w:tc>
        <w:tc>
          <w:tcPr>
            <w:tcW w:w="944" w:type="dxa"/>
            <w:tcBorders>
              <w:bottom w:val="single" w:sz="6" w:space="0" w:color="0075C9"/>
            </w:tcBorders>
            <w:noWrap/>
            <w:tcMar>
              <w:top w:w="0" w:type="dxa"/>
              <w:left w:w="144" w:type="dxa"/>
              <w:bottom w:w="0" w:type="dxa"/>
              <w:right w:w="0" w:type="dxa"/>
            </w:tcMar>
            <w:hideMark/>
          </w:tcPr>
          <w:p w14:paraId="5AC49CFE" w14:textId="33B30D47" w:rsidR="007C020B" w:rsidRPr="007C020B" w:rsidRDefault="007C020B" w:rsidP="007C020B">
            <w:pPr>
              <w:rPr>
                <w:color w:val="FFFFFF" w:themeColor="background1"/>
                <w:sz w:val="20"/>
              </w:rPr>
            </w:pPr>
            <w:r w:rsidRPr="007C020B">
              <w:rPr>
                <w:rFonts w:ascii="Arial" w:hAnsi="Arial" w:cs="Arial"/>
                <w:color w:val="FFFFFF" w:themeColor="background1"/>
                <w:sz w:val="17"/>
                <w:szCs w:val="17"/>
              </w:rPr>
              <w:t>NA</w:t>
            </w:r>
          </w:p>
        </w:tc>
        <w:tc>
          <w:tcPr>
            <w:tcW w:w="1124" w:type="dxa"/>
            <w:tcBorders>
              <w:bottom w:val="single" w:sz="6" w:space="0" w:color="0075C9"/>
            </w:tcBorders>
            <w:noWrap/>
            <w:tcMar>
              <w:top w:w="0" w:type="dxa"/>
              <w:left w:w="144" w:type="dxa"/>
              <w:bottom w:w="0" w:type="dxa"/>
              <w:right w:w="0" w:type="dxa"/>
            </w:tcMar>
            <w:hideMark/>
          </w:tcPr>
          <w:p w14:paraId="43C79597" w14:textId="47D4A5E5" w:rsidR="007C020B" w:rsidRPr="007C020B" w:rsidRDefault="007C020B" w:rsidP="007C020B">
            <w:pPr>
              <w:rPr>
                <w:color w:val="FFFFFF" w:themeColor="background1"/>
                <w:sz w:val="20"/>
              </w:rPr>
            </w:pPr>
            <w:r w:rsidRPr="007C020B">
              <w:rPr>
                <w:rFonts w:ascii="Arial" w:hAnsi="Arial" w:cs="Arial"/>
                <w:color w:val="FFFFFF" w:themeColor="background1"/>
                <w:sz w:val="17"/>
                <w:szCs w:val="17"/>
              </w:rPr>
              <w:t>NA</w:t>
            </w:r>
          </w:p>
        </w:tc>
        <w:tc>
          <w:tcPr>
            <w:tcW w:w="944" w:type="dxa"/>
            <w:tcBorders>
              <w:bottom w:val="single" w:sz="6" w:space="0" w:color="0075C9"/>
            </w:tcBorders>
            <w:noWrap/>
            <w:tcMar>
              <w:top w:w="0" w:type="dxa"/>
              <w:left w:w="144" w:type="dxa"/>
              <w:bottom w:w="0" w:type="dxa"/>
              <w:right w:w="0" w:type="dxa"/>
            </w:tcMar>
            <w:hideMark/>
          </w:tcPr>
          <w:p w14:paraId="5AC2891C" w14:textId="6C16A233" w:rsidR="007C020B" w:rsidRPr="007C020B" w:rsidRDefault="007C020B" w:rsidP="007C020B">
            <w:pPr>
              <w:rPr>
                <w:color w:val="FFFFFF" w:themeColor="background1"/>
                <w:sz w:val="20"/>
              </w:rPr>
            </w:pPr>
            <w:r w:rsidRPr="007C020B">
              <w:rPr>
                <w:rFonts w:ascii="Arial" w:hAnsi="Arial" w:cs="Arial"/>
                <w:color w:val="FFFFFF" w:themeColor="background1"/>
                <w:sz w:val="17"/>
                <w:szCs w:val="17"/>
              </w:rPr>
              <w:t>NA</w:t>
            </w:r>
          </w:p>
        </w:tc>
        <w:tc>
          <w:tcPr>
            <w:tcW w:w="1044" w:type="dxa"/>
            <w:tcBorders>
              <w:bottom w:val="single" w:sz="6" w:space="0" w:color="0075C9"/>
            </w:tcBorders>
            <w:noWrap/>
            <w:tcMar>
              <w:top w:w="0" w:type="dxa"/>
              <w:left w:w="144" w:type="dxa"/>
              <w:bottom w:w="0" w:type="dxa"/>
              <w:right w:w="0" w:type="dxa"/>
            </w:tcMar>
            <w:vAlign w:val="bottom"/>
            <w:hideMark/>
          </w:tcPr>
          <w:p w14:paraId="7412ED68" w14:textId="46D5A5C4" w:rsidR="007C020B" w:rsidRPr="00306F7C" w:rsidRDefault="007C020B" w:rsidP="007C020B">
            <w:pPr>
              <w:pStyle w:val="NormalWeb"/>
              <w:tabs>
                <w:tab w:val="right" w:pos="860"/>
                <w:tab w:val="decimal" w:pos="900"/>
              </w:tabs>
              <w:spacing w:before="0" w:beforeAutospacing="0" w:after="20" w:afterAutospacing="0"/>
              <w:rPr>
                <w:rFonts w:ascii="Arial" w:hAnsi="Arial" w:cs="Arial"/>
                <w:sz w:val="17"/>
                <w:szCs w:val="17"/>
              </w:rPr>
            </w:pPr>
            <w:r w:rsidRPr="00FE0A0A">
              <w:rPr>
                <w:rFonts w:ascii="Arial" w:hAnsi="Arial" w:cs="Arial"/>
                <w:bCs/>
                <w:sz w:val="17"/>
                <w:szCs w:val="17"/>
              </w:rPr>
              <w:tab/>
            </w:r>
            <w:r>
              <w:rPr>
                <w:rFonts w:ascii="Arial" w:hAnsi="Arial" w:cs="Arial"/>
                <w:b/>
                <w:bCs/>
                <w:sz w:val="17"/>
                <w:szCs w:val="17"/>
              </w:rPr>
              <w:t>144.07%</w:t>
            </w:r>
            <w:r w:rsidRPr="00FE0A0A">
              <w:rPr>
                <w:rFonts w:ascii="Arial" w:hAnsi="Arial" w:cs="Arial"/>
                <w:bCs/>
                <w:sz w:val="17"/>
                <w:szCs w:val="17"/>
              </w:rPr>
              <w:tab/>
            </w:r>
          </w:p>
        </w:tc>
      </w:tr>
      <w:tr w:rsidR="007C020B" w14:paraId="251F6A41" w14:textId="77777777" w:rsidTr="0083654F">
        <w:trPr>
          <w:cantSplit/>
        </w:trPr>
        <w:tc>
          <w:tcPr>
            <w:tcW w:w="3352" w:type="dxa"/>
            <w:tcBorders>
              <w:bottom w:val="single" w:sz="6" w:space="0" w:color="0075C9"/>
            </w:tcBorders>
            <w:noWrap/>
            <w:tcMar>
              <w:top w:w="0" w:type="dxa"/>
              <w:left w:w="0" w:type="dxa"/>
              <w:bottom w:w="40" w:type="dxa"/>
              <w:right w:w="0" w:type="dxa"/>
            </w:tcMar>
            <w:vAlign w:val="bottom"/>
            <w:hideMark/>
          </w:tcPr>
          <w:p w14:paraId="249E0182" w14:textId="77777777" w:rsidR="007C020B" w:rsidRPr="00306F7C" w:rsidRDefault="007C020B" w:rsidP="007C020B">
            <w:pPr>
              <w:pStyle w:val="NormalWeb"/>
              <w:keepNext/>
              <w:spacing w:before="0" w:beforeAutospacing="0" w:after="0" w:afterAutospacing="0"/>
              <w:ind w:left="113"/>
              <w:rPr>
                <w:rFonts w:ascii="Arial" w:hAnsi="Arial" w:cs="Arial"/>
                <w:sz w:val="17"/>
                <w:szCs w:val="17"/>
              </w:rPr>
            </w:pPr>
            <w:r>
              <w:rPr>
                <w:rFonts w:ascii="Arial" w:hAnsi="Arial" w:cs="Arial"/>
                <w:b/>
                <w:bCs/>
                <w:sz w:val="17"/>
                <w:szCs w:val="17"/>
              </w:rPr>
              <w:t>FY22 Core Metrics – Year 2</w:t>
            </w:r>
            <w:r>
              <w:rPr>
                <w:rFonts w:ascii="Arial" w:hAnsi="Arial" w:cs="Arial"/>
                <w:b/>
                <w:bCs/>
                <w:sz w:val="13"/>
                <w:szCs w:val="13"/>
                <w:vertAlign w:val="superscript"/>
              </w:rPr>
              <w:t>2</w:t>
            </w:r>
          </w:p>
        </w:tc>
        <w:tc>
          <w:tcPr>
            <w:tcW w:w="1144" w:type="dxa"/>
            <w:tcBorders>
              <w:bottom w:val="single" w:sz="6" w:space="0" w:color="0075C9"/>
            </w:tcBorders>
            <w:noWrap/>
            <w:tcMar>
              <w:top w:w="0" w:type="dxa"/>
              <w:left w:w="144" w:type="dxa"/>
              <w:bottom w:w="0" w:type="dxa"/>
              <w:right w:w="0" w:type="dxa"/>
            </w:tcMar>
            <w:hideMark/>
          </w:tcPr>
          <w:p w14:paraId="5CAC907F" w14:textId="64270F24" w:rsidR="007C020B" w:rsidRDefault="007C020B" w:rsidP="007C020B">
            <w:pPr>
              <w:pStyle w:val="NormalWeb"/>
              <w:tabs>
                <w:tab w:val="right" w:pos="960"/>
                <w:tab w:val="decimal" w:pos="1000"/>
              </w:tabs>
              <w:spacing w:before="0" w:beforeAutospacing="0" w:after="20" w:afterAutospacing="0"/>
              <w:rPr>
                <w:rFonts w:ascii="Arial" w:hAnsi="Arial" w:cs="Arial"/>
                <w:sz w:val="17"/>
                <w:szCs w:val="17"/>
              </w:rPr>
            </w:pPr>
            <w:r w:rsidRPr="00FE0A0A">
              <w:rPr>
                <w:rFonts w:ascii="Arial" w:hAnsi="Arial" w:cs="Arial"/>
                <w:bCs/>
                <w:sz w:val="17"/>
                <w:szCs w:val="17"/>
              </w:rPr>
              <w:tab/>
            </w:r>
            <w:r>
              <w:rPr>
                <w:rFonts w:ascii="Arial" w:hAnsi="Arial" w:cs="Arial"/>
                <w:b/>
                <w:bCs/>
                <w:sz w:val="17"/>
                <w:szCs w:val="17"/>
              </w:rPr>
              <w:t>1/3</w:t>
            </w:r>
            <w:r w:rsidRPr="00FE0A0A">
              <w:rPr>
                <w:rFonts w:ascii="Arial" w:hAnsi="Arial" w:cs="Arial"/>
                <w:bCs/>
                <w:sz w:val="17"/>
                <w:szCs w:val="17"/>
              </w:rPr>
              <w:tab/>
            </w:r>
          </w:p>
        </w:tc>
        <w:tc>
          <w:tcPr>
            <w:tcW w:w="1144" w:type="dxa"/>
            <w:tcBorders>
              <w:bottom w:val="single" w:sz="6" w:space="0" w:color="0075C9"/>
            </w:tcBorders>
            <w:noWrap/>
            <w:tcMar>
              <w:top w:w="0" w:type="dxa"/>
              <w:left w:w="144" w:type="dxa"/>
              <w:bottom w:w="0" w:type="dxa"/>
              <w:right w:w="0" w:type="dxa"/>
            </w:tcMar>
            <w:hideMark/>
          </w:tcPr>
          <w:p w14:paraId="633041C9" w14:textId="5CBD98E5" w:rsidR="007C020B" w:rsidRPr="007C020B" w:rsidRDefault="007C020B" w:rsidP="007C020B">
            <w:pPr>
              <w:rPr>
                <w:rFonts w:ascii="Arial" w:hAnsi="Arial" w:cs="Arial"/>
                <w:color w:val="FFFFFF" w:themeColor="background1"/>
                <w:sz w:val="17"/>
                <w:szCs w:val="17"/>
              </w:rPr>
            </w:pPr>
            <w:r w:rsidRPr="007C020B">
              <w:rPr>
                <w:rFonts w:ascii="Arial" w:hAnsi="Arial" w:cs="Arial"/>
                <w:color w:val="FFFFFF" w:themeColor="background1"/>
                <w:sz w:val="17"/>
                <w:szCs w:val="17"/>
              </w:rPr>
              <w:t>NA</w:t>
            </w:r>
          </w:p>
        </w:tc>
        <w:tc>
          <w:tcPr>
            <w:tcW w:w="1104" w:type="dxa"/>
            <w:tcBorders>
              <w:bottom w:val="single" w:sz="6" w:space="0" w:color="0075C9"/>
            </w:tcBorders>
            <w:noWrap/>
            <w:tcMar>
              <w:top w:w="0" w:type="dxa"/>
              <w:left w:w="144" w:type="dxa"/>
              <w:bottom w:w="0" w:type="dxa"/>
              <w:right w:w="0" w:type="dxa"/>
            </w:tcMar>
            <w:hideMark/>
          </w:tcPr>
          <w:p w14:paraId="4D589A34" w14:textId="04801906" w:rsidR="007C020B" w:rsidRPr="007C020B" w:rsidRDefault="007C020B" w:rsidP="007C020B">
            <w:pPr>
              <w:rPr>
                <w:color w:val="FFFFFF" w:themeColor="background1"/>
                <w:sz w:val="20"/>
              </w:rPr>
            </w:pPr>
            <w:r w:rsidRPr="007C020B">
              <w:rPr>
                <w:rFonts w:ascii="Arial" w:hAnsi="Arial" w:cs="Arial"/>
                <w:color w:val="FFFFFF" w:themeColor="background1"/>
                <w:sz w:val="17"/>
                <w:szCs w:val="17"/>
              </w:rPr>
              <w:t>NA</w:t>
            </w:r>
          </w:p>
        </w:tc>
        <w:tc>
          <w:tcPr>
            <w:tcW w:w="944" w:type="dxa"/>
            <w:tcBorders>
              <w:bottom w:val="single" w:sz="6" w:space="0" w:color="0075C9"/>
            </w:tcBorders>
            <w:noWrap/>
            <w:tcMar>
              <w:top w:w="0" w:type="dxa"/>
              <w:left w:w="144" w:type="dxa"/>
              <w:bottom w:w="0" w:type="dxa"/>
              <w:right w:w="0" w:type="dxa"/>
            </w:tcMar>
            <w:hideMark/>
          </w:tcPr>
          <w:p w14:paraId="5B20A317" w14:textId="77111F8D" w:rsidR="007C020B" w:rsidRPr="007C020B" w:rsidRDefault="007C020B" w:rsidP="007C020B">
            <w:pPr>
              <w:rPr>
                <w:color w:val="FFFFFF" w:themeColor="background1"/>
                <w:sz w:val="20"/>
              </w:rPr>
            </w:pPr>
            <w:r w:rsidRPr="007C020B">
              <w:rPr>
                <w:rFonts w:ascii="Arial" w:hAnsi="Arial" w:cs="Arial"/>
                <w:color w:val="FFFFFF" w:themeColor="background1"/>
                <w:sz w:val="17"/>
                <w:szCs w:val="17"/>
              </w:rPr>
              <w:t>NA</w:t>
            </w:r>
          </w:p>
        </w:tc>
        <w:tc>
          <w:tcPr>
            <w:tcW w:w="1124" w:type="dxa"/>
            <w:tcBorders>
              <w:bottom w:val="single" w:sz="6" w:space="0" w:color="0075C9"/>
            </w:tcBorders>
            <w:noWrap/>
            <w:tcMar>
              <w:top w:w="0" w:type="dxa"/>
              <w:left w:w="144" w:type="dxa"/>
              <w:bottom w:w="0" w:type="dxa"/>
              <w:right w:w="0" w:type="dxa"/>
            </w:tcMar>
            <w:hideMark/>
          </w:tcPr>
          <w:p w14:paraId="0E1DA045" w14:textId="43ED1E0E" w:rsidR="007C020B" w:rsidRPr="007C020B" w:rsidRDefault="007C020B" w:rsidP="007C020B">
            <w:pPr>
              <w:rPr>
                <w:color w:val="FFFFFF" w:themeColor="background1"/>
                <w:sz w:val="20"/>
              </w:rPr>
            </w:pPr>
            <w:r w:rsidRPr="007C020B">
              <w:rPr>
                <w:rFonts w:ascii="Arial" w:hAnsi="Arial" w:cs="Arial"/>
                <w:color w:val="FFFFFF" w:themeColor="background1"/>
                <w:sz w:val="17"/>
                <w:szCs w:val="17"/>
              </w:rPr>
              <w:t>NA</w:t>
            </w:r>
          </w:p>
        </w:tc>
        <w:tc>
          <w:tcPr>
            <w:tcW w:w="944" w:type="dxa"/>
            <w:tcBorders>
              <w:bottom w:val="single" w:sz="6" w:space="0" w:color="0075C9"/>
            </w:tcBorders>
            <w:noWrap/>
            <w:tcMar>
              <w:top w:w="0" w:type="dxa"/>
              <w:left w:w="144" w:type="dxa"/>
              <w:bottom w:w="0" w:type="dxa"/>
              <w:right w:w="0" w:type="dxa"/>
            </w:tcMar>
            <w:hideMark/>
          </w:tcPr>
          <w:p w14:paraId="219A34A9" w14:textId="3B597D3B" w:rsidR="007C020B" w:rsidRPr="007C020B" w:rsidRDefault="007C020B" w:rsidP="007C020B">
            <w:pPr>
              <w:rPr>
                <w:color w:val="FFFFFF" w:themeColor="background1"/>
                <w:sz w:val="20"/>
              </w:rPr>
            </w:pPr>
            <w:r w:rsidRPr="007C020B">
              <w:rPr>
                <w:rFonts w:ascii="Arial" w:hAnsi="Arial" w:cs="Arial"/>
                <w:color w:val="FFFFFF" w:themeColor="background1"/>
                <w:sz w:val="17"/>
                <w:szCs w:val="17"/>
              </w:rPr>
              <w:t>NA</w:t>
            </w:r>
          </w:p>
        </w:tc>
        <w:tc>
          <w:tcPr>
            <w:tcW w:w="1044" w:type="dxa"/>
            <w:tcBorders>
              <w:bottom w:val="single" w:sz="6" w:space="0" w:color="0075C9"/>
            </w:tcBorders>
            <w:noWrap/>
            <w:tcMar>
              <w:top w:w="0" w:type="dxa"/>
              <w:left w:w="144" w:type="dxa"/>
              <w:bottom w:w="0" w:type="dxa"/>
              <w:right w:w="0" w:type="dxa"/>
            </w:tcMar>
            <w:vAlign w:val="bottom"/>
            <w:hideMark/>
          </w:tcPr>
          <w:p w14:paraId="33E2F6B6" w14:textId="0DE717C6" w:rsidR="007C020B" w:rsidRPr="00306F7C" w:rsidRDefault="007C020B" w:rsidP="007C020B">
            <w:pPr>
              <w:pStyle w:val="NormalWeb"/>
              <w:tabs>
                <w:tab w:val="right" w:pos="860"/>
                <w:tab w:val="decimal" w:pos="900"/>
              </w:tabs>
              <w:spacing w:before="0" w:beforeAutospacing="0" w:after="20" w:afterAutospacing="0"/>
              <w:rPr>
                <w:rFonts w:ascii="Arial" w:hAnsi="Arial" w:cs="Arial"/>
                <w:sz w:val="17"/>
                <w:szCs w:val="17"/>
              </w:rPr>
            </w:pPr>
            <w:r w:rsidRPr="00FE0A0A">
              <w:rPr>
                <w:rFonts w:ascii="Arial" w:hAnsi="Arial" w:cs="Arial"/>
                <w:bCs/>
                <w:sz w:val="17"/>
                <w:szCs w:val="17"/>
              </w:rPr>
              <w:tab/>
            </w:r>
            <w:r>
              <w:rPr>
                <w:rFonts w:ascii="Arial" w:hAnsi="Arial" w:cs="Arial"/>
                <w:b/>
                <w:bCs/>
                <w:sz w:val="17"/>
                <w:szCs w:val="17"/>
              </w:rPr>
              <w:t>95.75%</w:t>
            </w:r>
            <w:r w:rsidRPr="00FE0A0A">
              <w:rPr>
                <w:rFonts w:ascii="Arial" w:hAnsi="Arial" w:cs="Arial"/>
                <w:bCs/>
                <w:sz w:val="17"/>
                <w:szCs w:val="17"/>
              </w:rPr>
              <w:tab/>
            </w:r>
          </w:p>
        </w:tc>
      </w:tr>
      <w:tr w:rsidR="007C020B" w14:paraId="40B2A264" w14:textId="77777777" w:rsidTr="0083654F">
        <w:trPr>
          <w:cantSplit/>
        </w:trPr>
        <w:tc>
          <w:tcPr>
            <w:tcW w:w="3352" w:type="dxa"/>
            <w:tcBorders>
              <w:bottom w:val="single" w:sz="6" w:space="0" w:color="0075C9"/>
            </w:tcBorders>
            <w:noWrap/>
            <w:tcMar>
              <w:top w:w="0" w:type="dxa"/>
              <w:left w:w="0" w:type="dxa"/>
              <w:bottom w:w="40" w:type="dxa"/>
              <w:right w:w="0" w:type="dxa"/>
            </w:tcMar>
            <w:vAlign w:val="bottom"/>
            <w:hideMark/>
          </w:tcPr>
          <w:p w14:paraId="2875EA15" w14:textId="77777777" w:rsidR="007C020B" w:rsidRPr="00306F7C" w:rsidRDefault="007C020B" w:rsidP="007C020B">
            <w:pPr>
              <w:pStyle w:val="NormalWeb"/>
              <w:spacing w:before="0" w:beforeAutospacing="0" w:after="0" w:afterAutospacing="0"/>
              <w:ind w:left="113"/>
              <w:rPr>
                <w:rFonts w:ascii="Arial" w:hAnsi="Arial" w:cs="Arial"/>
                <w:sz w:val="17"/>
                <w:szCs w:val="17"/>
              </w:rPr>
            </w:pPr>
            <w:r>
              <w:rPr>
                <w:rFonts w:ascii="Arial" w:hAnsi="Arial" w:cs="Arial"/>
                <w:b/>
                <w:bCs/>
                <w:sz w:val="17"/>
                <w:szCs w:val="17"/>
              </w:rPr>
              <w:t>FY23 Core Metrics – Year 3</w:t>
            </w:r>
          </w:p>
        </w:tc>
        <w:tc>
          <w:tcPr>
            <w:tcW w:w="1144" w:type="dxa"/>
            <w:tcBorders>
              <w:bottom w:val="single" w:sz="6" w:space="0" w:color="0075C9"/>
            </w:tcBorders>
            <w:noWrap/>
            <w:tcMar>
              <w:top w:w="0" w:type="dxa"/>
              <w:left w:w="144" w:type="dxa"/>
              <w:bottom w:w="0" w:type="dxa"/>
              <w:right w:w="0" w:type="dxa"/>
            </w:tcMar>
            <w:hideMark/>
          </w:tcPr>
          <w:p w14:paraId="4EA1DF3A" w14:textId="076E249D" w:rsidR="007C020B" w:rsidRDefault="007C020B" w:rsidP="007C020B">
            <w:pPr>
              <w:pStyle w:val="NormalWeb"/>
              <w:tabs>
                <w:tab w:val="right" w:pos="960"/>
                <w:tab w:val="decimal" w:pos="1000"/>
              </w:tabs>
              <w:spacing w:before="0" w:beforeAutospacing="0" w:after="20" w:afterAutospacing="0"/>
              <w:rPr>
                <w:rFonts w:ascii="Arial" w:hAnsi="Arial" w:cs="Arial"/>
                <w:sz w:val="17"/>
                <w:szCs w:val="17"/>
              </w:rPr>
            </w:pPr>
            <w:r w:rsidRPr="00FE0A0A">
              <w:rPr>
                <w:rFonts w:ascii="Arial" w:hAnsi="Arial" w:cs="Arial"/>
                <w:bCs/>
                <w:sz w:val="17"/>
                <w:szCs w:val="17"/>
              </w:rPr>
              <w:tab/>
            </w:r>
            <w:r>
              <w:rPr>
                <w:rFonts w:ascii="Arial" w:hAnsi="Arial" w:cs="Arial"/>
                <w:b/>
                <w:bCs/>
                <w:sz w:val="17"/>
                <w:szCs w:val="17"/>
              </w:rPr>
              <w:t>1/3</w:t>
            </w:r>
            <w:r w:rsidRPr="00FE0A0A">
              <w:rPr>
                <w:rFonts w:ascii="Arial" w:hAnsi="Arial" w:cs="Arial"/>
                <w:bCs/>
                <w:sz w:val="17"/>
                <w:szCs w:val="17"/>
              </w:rPr>
              <w:tab/>
            </w:r>
          </w:p>
        </w:tc>
        <w:tc>
          <w:tcPr>
            <w:tcW w:w="1144" w:type="dxa"/>
            <w:tcBorders>
              <w:bottom w:val="single" w:sz="6" w:space="0" w:color="0075C9"/>
            </w:tcBorders>
            <w:noWrap/>
            <w:tcMar>
              <w:top w:w="0" w:type="dxa"/>
              <w:left w:w="144" w:type="dxa"/>
              <w:bottom w:w="0" w:type="dxa"/>
              <w:right w:w="0" w:type="dxa"/>
            </w:tcMar>
            <w:hideMark/>
          </w:tcPr>
          <w:p w14:paraId="32FD855E" w14:textId="709F6E7E" w:rsidR="007C020B" w:rsidRPr="007C020B" w:rsidRDefault="007C020B" w:rsidP="007C020B">
            <w:pPr>
              <w:rPr>
                <w:rFonts w:ascii="Arial" w:hAnsi="Arial" w:cs="Arial"/>
                <w:color w:val="FFFFFF" w:themeColor="background1"/>
                <w:sz w:val="17"/>
                <w:szCs w:val="17"/>
              </w:rPr>
            </w:pPr>
            <w:r w:rsidRPr="007C020B">
              <w:rPr>
                <w:rFonts w:ascii="Arial" w:hAnsi="Arial" w:cs="Arial"/>
                <w:color w:val="FFFFFF" w:themeColor="background1"/>
                <w:sz w:val="17"/>
                <w:szCs w:val="17"/>
              </w:rPr>
              <w:t>NA</w:t>
            </w:r>
          </w:p>
        </w:tc>
        <w:tc>
          <w:tcPr>
            <w:tcW w:w="1104" w:type="dxa"/>
            <w:tcBorders>
              <w:bottom w:val="single" w:sz="6" w:space="0" w:color="0075C9"/>
            </w:tcBorders>
            <w:noWrap/>
            <w:tcMar>
              <w:top w:w="0" w:type="dxa"/>
              <w:left w:w="144" w:type="dxa"/>
              <w:bottom w:w="0" w:type="dxa"/>
              <w:right w:w="0" w:type="dxa"/>
            </w:tcMar>
            <w:hideMark/>
          </w:tcPr>
          <w:p w14:paraId="42F2440F" w14:textId="414CA06B" w:rsidR="007C020B" w:rsidRPr="007C020B" w:rsidRDefault="007C020B" w:rsidP="007C020B">
            <w:pPr>
              <w:rPr>
                <w:color w:val="FFFFFF" w:themeColor="background1"/>
                <w:sz w:val="20"/>
              </w:rPr>
            </w:pPr>
            <w:r w:rsidRPr="007C020B">
              <w:rPr>
                <w:rFonts w:ascii="Arial" w:hAnsi="Arial" w:cs="Arial"/>
                <w:color w:val="FFFFFF" w:themeColor="background1"/>
                <w:sz w:val="17"/>
                <w:szCs w:val="17"/>
              </w:rPr>
              <w:t>NA</w:t>
            </w:r>
          </w:p>
        </w:tc>
        <w:tc>
          <w:tcPr>
            <w:tcW w:w="944" w:type="dxa"/>
            <w:tcBorders>
              <w:bottom w:val="single" w:sz="6" w:space="0" w:color="0075C9"/>
            </w:tcBorders>
            <w:noWrap/>
            <w:tcMar>
              <w:top w:w="0" w:type="dxa"/>
              <w:left w:w="144" w:type="dxa"/>
              <w:bottom w:w="0" w:type="dxa"/>
              <w:right w:w="0" w:type="dxa"/>
            </w:tcMar>
            <w:hideMark/>
          </w:tcPr>
          <w:p w14:paraId="6329D647" w14:textId="66F45E5B" w:rsidR="007C020B" w:rsidRPr="007C020B" w:rsidRDefault="007C020B" w:rsidP="007C020B">
            <w:pPr>
              <w:rPr>
                <w:color w:val="FFFFFF" w:themeColor="background1"/>
                <w:sz w:val="20"/>
              </w:rPr>
            </w:pPr>
            <w:r w:rsidRPr="007C020B">
              <w:rPr>
                <w:rFonts w:ascii="Arial" w:hAnsi="Arial" w:cs="Arial"/>
                <w:color w:val="FFFFFF" w:themeColor="background1"/>
                <w:sz w:val="17"/>
                <w:szCs w:val="17"/>
              </w:rPr>
              <w:t>NA</w:t>
            </w:r>
          </w:p>
        </w:tc>
        <w:tc>
          <w:tcPr>
            <w:tcW w:w="1124" w:type="dxa"/>
            <w:tcBorders>
              <w:bottom w:val="single" w:sz="6" w:space="0" w:color="0075C9"/>
            </w:tcBorders>
            <w:noWrap/>
            <w:tcMar>
              <w:top w:w="0" w:type="dxa"/>
              <w:left w:w="144" w:type="dxa"/>
              <w:bottom w:w="0" w:type="dxa"/>
              <w:right w:w="0" w:type="dxa"/>
            </w:tcMar>
            <w:hideMark/>
          </w:tcPr>
          <w:p w14:paraId="570E5209" w14:textId="7AA6CD15" w:rsidR="007C020B" w:rsidRPr="007C020B" w:rsidRDefault="007C020B" w:rsidP="007C020B">
            <w:pPr>
              <w:rPr>
                <w:color w:val="FFFFFF" w:themeColor="background1"/>
                <w:sz w:val="20"/>
              </w:rPr>
            </w:pPr>
            <w:r w:rsidRPr="007C020B">
              <w:rPr>
                <w:rFonts w:ascii="Arial" w:hAnsi="Arial" w:cs="Arial"/>
                <w:color w:val="FFFFFF" w:themeColor="background1"/>
                <w:sz w:val="17"/>
                <w:szCs w:val="17"/>
              </w:rPr>
              <w:t>NA</w:t>
            </w:r>
          </w:p>
        </w:tc>
        <w:tc>
          <w:tcPr>
            <w:tcW w:w="944" w:type="dxa"/>
            <w:tcBorders>
              <w:bottom w:val="single" w:sz="6" w:space="0" w:color="0075C9"/>
            </w:tcBorders>
            <w:noWrap/>
            <w:tcMar>
              <w:top w:w="0" w:type="dxa"/>
              <w:left w:w="144" w:type="dxa"/>
              <w:bottom w:w="0" w:type="dxa"/>
              <w:right w:w="0" w:type="dxa"/>
            </w:tcMar>
            <w:hideMark/>
          </w:tcPr>
          <w:p w14:paraId="5B6E00DB" w14:textId="73262044" w:rsidR="007C020B" w:rsidRPr="007C020B" w:rsidRDefault="007C020B" w:rsidP="007C020B">
            <w:pPr>
              <w:rPr>
                <w:color w:val="FFFFFF" w:themeColor="background1"/>
                <w:sz w:val="20"/>
              </w:rPr>
            </w:pPr>
            <w:r w:rsidRPr="007C020B">
              <w:rPr>
                <w:rFonts w:ascii="Arial" w:hAnsi="Arial" w:cs="Arial"/>
                <w:color w:val="FFFFFF" w:themeColor="background1"/>
                <w:sz w:val="17"/>
                <w:szCs w:val="17"/>
              </w:rPr>
              <w:t>NA</w:t>
            </w:r>
          </w:p>
        </w:tc>
        <w:tc>
          <w:tcPr>
            <w:tcW w:w="1044" w:type="dxa"/>
            <w:tcBorders>
              <w:bottom w:val="single" w:sz="6" w:space="0" w:color="0075C9"/>
            </w:tcBorders>
            <w:noWrap/>
            <w:tcMar>
              <w:top w:w="0" w:type="dxa"/>
              <w:left w:w="144" w:type="dxa"/>
              <w:bottom w:w="0" w:type="dxa"/>
              <w:right w:w="0" w:type="dxa"/>
            </w:tcMar>
            <w:vAlign w:val="bottom"/>
            <w:hideMark/>
          </w:tcPr>
          <w:p w14:paraId="2623A661" w14:textId="205E5750" w:rsidR="007C020B" w:rsidRPr="00306F7C" w:rsidRDefault="007C020B" w:rsidP="007C020B">
            <w:pPr>
              <w:pStyle w:val="NormalWeb"/>
              <w:tabs>
                <w:tab w:val="right" w:pos="860"/>
                <w:tab w:val="decimal" w:pos="900"/>
              </w:tabs>
              <w:spacing w:before="0" w:beforeAutospacing="0" w:after="20" w:afterAutospacing="0"/>
              <w:rPr>
                <w:rFonts w:ascii="Arial" w:hAnsi="Arial" w:cs="Arial"/>
                <w:sz w:val="17"/>
                <w:szCs w:val="17"/>
              </w:rPr>
            </w:pPr>
            <w:r w:rsidRPr="00FE0A0A">
              <w:rPr>
                <w:rFonts w:ascii="Arial" w:hAnsi="Arial" w:cs="Arial"/>
                <w:bCs/>
                <w:sz w:val="17"/>
                <w:szCs w:val="17"/>
              </w:rPr>
              <w:tab/>
            </w:r>
            <w:r>
              <w:rPr>
                <w:rFonts w:ascii="Arial" w:hAnsi="Arial" w:cs="Arial"/>
                <w:b/>
                <w:bCs/>
                <w:sz w:val="17"/>
                <w:szCs w:val="17"/>
              </w:rPr>
              <w:t>99.65%</w:t>
            </w:r>
            <w:r w:rsidRPr="00FE0A0A">
              <w:rPr>
                <w:rFonts w:ascii="Arial" w:hAnsi="Arial" w:cs="Arial"/>
                <w:bCs/>
                <w:sz w:val="17"/>
                <w:szCs w:val="17"/>
              </w:rPr>
              <w:tab/>
            </w:r>
          </w:p>
        </w:tc>
      </w:tr>
      <w:tr w:rsidR="007C020B" w14:paraId="54CB53FB" w14:textId="77777777" w:rsidTr="00FE0A0A">
        <w:trPr>
          <w:cantSplit/>
        </w:trPr>
        <w:tc>
          <w:tcPr>
            <w:tcW w:w="3352" w:type="dxa"/>
            <w:tcBorders>
              <w:bottom w:val="single" w:sz="6" w:space="0" w:color="0075C9"/>
            </w:tcBorders>
            <w:tcMar>
              <w:top w:w="0" w:type="dxa"/>
              <w:left w:w="0" w:type="dxa"/>
              <w:bottom w:w="20" w:type="dxa"/>
              <w:right w:w="0" w:type="dxa"/>
            </w:tcMar>
            <w:vAlign w:val="center"/>
            <w:hideMark/>
          </w:tcPr>
          <w:p w14:paraId="73E01309" w14:textId="77777777" w:rsidR="007C020B" w:rsidRPr="00306F7C" w:rsidRDefault="007C020B" w:rsidP="007C020B">
            <w:pPr>
              <w:pStyle w:val="NormalWeb"/>
              <w:spacing w:before="0" w:beforeAutospacing="0" w:after="0" w:afterAutospacing="0"/>
              <w:ind w:left="113"/>
              <w:rPr>
                <w:rFonts w:ascii="Arial" w:hAnsi="Arial" w:cs="Arial"/>
                <w:sz w:val="17"/>
                <w:szCs w:val="17"/>
              </w:rPr>
            </w:pPr>
            <w:r>
              <w:rPr>
                <w:rFonts w:ascii="Arial" w:hAnsi="Arial" w:cs="Arial"/>
                <w:b/>
                <w:bCs/>
                <w:color w:val="0075C9"/>
                <w:sz w:val="17"/>
                <w:szCs w:val="17"/>
              </w:rPr>
              <w:t> </w:t>
            </w:r>
            <w:r>
              <w:rPr>
                <w:rFonts w:ascii="Arial" w:hAnsi="Arial" w:cs="Arial"/>
                <w:b/>
                <w:bCs/>
                <w:color w:val="0075C9"/>
                <w:sz w:val="17"/>
                <w:szCs w:val="17"/>
              </w:rPr>
              <w:t>Microsoft Cloud Revenue</w:t>
            </w:r>
            <w:r>
              <w:rPr>
                <w:rFonts w:ascii="Arial" w:hAnsi="Arial" w:cs="Arial"/>
                <w:b/>
                <w:bCs/>
                <w:color w:val="0075C9"/>
                <w:sz w:val="13"/>
                <w:szCs w:val="13"/>
                <w:vertAlign w:val="superscript"/>
              </w:rPr>
              <w:t>3</w:t>
            </w:r>
          </w:p>
        </w:tc>
        <w:tc>
          <w:tcPr>
            <w:tcW w:w="1144" w:type="dxa"/>
            <w:tcBorders>
              <w:bottom w:val="single" w:sz="6" w:space="0" w:color="0075C9"/>
            </w:tcBorders>
            <w:noWrap/>
            <w:tcMar>
              <w:top w:w="0" w:type="dxa"/>
              <w:left w:w="144" w:type="dxa"/>
              <w:bottom w:w="0" w:type="dxa"/>
              <w:right w:w="0" w:type="dxa"/>
            </w:tcMar>
            <w:hideMark/>
          </w:tcPr>
          <w:p w14:paraId="76473C6C" w14:textId="5F3599AE" w:rsidR="007C020B" w:rsidRPr="007C020B" w:rsidRDefault="007C020B" w:rsidP="007C020B">
            <w:pPr>
              <w:rPr>
                <w:rFonts w:ascii="Arial" w:hAnsi="Arial" w:cs="Arial"/>
                <w:color w:val="FFFFFF" w:themeColor="background1"/>
                <w:sz w:val="17"/>
                <w:szCs w:val="17"/>
              </w:rPr>
            </w:pPr>
            <w:r w:rsidRPr="007C020B">
              <w:rPr>
                <w:rFonts w:ascii="Arial" w:hAnsi="Arial" w:cs="Arial"/>
                <w:color w:val="FFFFFF" w:themeColor="background1"/>
                <w:sz w:val="17"/>
                <w:szCs w:val="17"/>
              </w:rPr>
              <w:t>NA</w:t>
            </w:r>
          </w:p>
        </w:tc>
        <w:tc>
          <w:tcPr>
            <w:tcW w:w="1144" w:type="dxa"/>
            <w:tcBorders>
              <w:bottom w:val="single" w:sz="6" w:space="0" w:color="0075C9"/>
            </w:tcBorders>
            <w:noWrap/>
            <w:tcMar>
              <w:top w:w="0" w:type="dxa"/>
              <w:left w:w="144" w:type="dxa"/>
              <w:bottom w:w="0" w:type="dxa"/>
              <w:right w:w="0" w:type="dxa"/>
            </w:tcMar>
            <w:hideMark/>
          </w:tcPr>
          <w:p w14:paraId="25E5FAB0" w14:textId="77777777" w:rsidR="007C020B" w:rsidRPr="00306F7C" w:rsidRDefault="007C020B" w:rsidP="007C020B">
            <w:pPr>
              <w:pStyle w:val="NormalWeb"/>
              <w:tabs>
                <w:tab w:val="right" w:pos="960"/>
                <w:tab w:val="decimal" w:pos="1000"/>
              </w:tabs>
              <w:spacing w:before="0" w:beforeAutospacing="0" w:after="20" w:afterAutospacing="0"/>
              <w:rPr>
                <w:rFonts w:ascii="Arial" w:hAnsi="Arial" w:cs="Arial"/>
                <w:sz w:val="17"/>
                <w:szCs w:val="17"/>
              </w:rPr>
            </w:pPr>
            <w:r>
              <w:rPr>
                <w:rFonts w:ascii="Arial" w:hAnsi="Arial" w:cs="Arial"/>
                <w:sz w:val="17"/>
                <w:szCs w:val="17"/>
              </w:rPr>
              <w:tab/>
              <w:t>30%</w:t>
            </w:r>
            <w:r>
              <w:rPr>
                <w:rFonts w:ascii="Arial" w:hAnsi="Arial" w:cs="Arial"/>
                <w:sz w:val="17"/>
                <w:szCs w:val="17"/>
              </w:rPr>
              <w:tab/>
            </w:r>
          </w:p>
        </w:tc>
        <w:tc>
          <w:tcPr>
            <w:tcW w:w="1104" w:type="dxa"/>
            <w:tcBorders>
              <w:bottom w:val="single" w:sz="6" w:space="0" w:color="0075C9"/>
            </w:tcBorders>
            <w:noWrap/>
            <w:tcMar>
              <w:top w:w="0" w:type="dxa"/>
              <w:left w:w="144" w:type="dxa"/>
              <w:bottom w:w="0" w:type="dxa"/>
              <w:right w:w="0" w:type="dxa"/>
            </w:tcMar>
            <w:hideMark/>
          </w:tcPr>
          <w:p w14:paraId="02CF0ABB" w14:textId="77777777" w:rsidR="007C020B" w:rsidRDefault="007C020B" w:rsidP="007C020B">
            <w:pPr>
              <w:pStyle w:val="NormalWeb"/>
              <w:tabs>
                <w:tab w:val="right" w:pos="920"/>
                <w:tab w:val="decimal" w:pos="960"/>
              </w:tabs>
              <w:spacing w:before="0" w:beforeAutospacing="0" w:after="20" w:afterAutospacing="0"/>
              <w:rPr>
                <w:rFonts w:ascii="Arial" w:hAnsi="Arial" w:cs="Arial"/>
                <w:sz w:val="17"/>
                <w:szCs w:val="17"/>
              </w:rPr>
            </w:pPr>
            <w:r>
              <w:rPr>
                <w:rFonts w:ascii="Arial" w:hAnsi="Arial" w:cs="Arial"/>
                <w:sz w:val="17"/>
                <w:szCs w:val="17"/>
              </w:rPr>
              <w:tab/>
              <w:t>$107.64</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5BDB64C6" w14:textId="77777777" w:rsidR="007C020B" w:rsidRDefault="007C020B" w:rsidP="007C020B">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$116.51</w:t>
            </w:r>
            <w:r>
              <w:rPr>
                <w:rFonts w:ascii="Arial" w:hAnsi="Arial" w:cs="Arial"/>
                <w:sz w:val="17"/>
                <w:szCs w:val="17"/>
              </w:rPr>
              <w:tab/>
            </w:r>
          </w:p>
        </w:tc>
        <w:tc>
          <w:tcPr>
            <w:tcW w:w="1124" w:type="dxa"/>
            <w:tcBorders>
              <w:bottom w:val="single" w:sz="6" w:space="0" w:color="0075C9"/>
            </w:tcBorders>
            <w:noWrap/>
            <w:tcMar>
              <w:top w:w="0" w:type="dxa"/>
              <w:left w:w="144" w:type="dxa"/>
              <w:bottom w:w="0" w:type="dxa"/>
              <w:right w:w="0" w:type="dxa"/>
            </w:tcMar>
            <w:hideMark/>
          </w:tcPr>
          <w:p w14:paraId="0AB5ECA8" w14:textId="77777777" w:rsidR="007C020B" w:rsidRDefault="007C020B" w:rsidP="007C020B">
            <w:pPr>
              <w:pStyle w:val="NormalWeb"/>
              <w:tabs>
                <w:tab w:val="right" w:pos="940"/>
                <w:tab w:val="decimal" w:pos="980"/>
              </w:tabs>
              <w:spacing w:before="0" w:beforeAutospacing="0" w:after="20" w:afterAutospacing="0"/>
              <w:rPr>
                <w:rFonts w:ascii="Arial" w:hAnsi="Arial" w:cs="Arial"/>
                <w:sz w:val="17"/>
                <w:szCs w:val="17"/>
              </w:rPr>
            </w:pPr>
            <w:r>
              <w:rPr>
                <w:rFonts w:ascii="Arial" w:hAnsi="Arial" w:cs="Arial"/>
                <w:sz w:val="17"/>
                <w:szCs w:val="17"/>
              </w:rPr>
              <w:tab/>
              <w:t>$125.69</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0044A2A8" w14:textId="77777777" w:rsidR="007C020B" w:rsidRDefault="007C020B" w:rsidP="007C020B">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$113.26</w:t>
            </w:r>
            <w:r>
              <w:rPr>
                <w:rFonts w:ascii="Arial" w:hAnsi="Arial" w:cs="Arial"/>
                <w:sz w:val="17"/>
                <w:szCs w:val="17"/>
              </w:rPr>
              <w:tab/>
            </w:r>
          </w:p>
        </w:tc>
        <w:tc>
          <w:tcPr>
            <w:tcW w:w="1044" w:type="dxa"/>
            <w:tcBorders>
              <w:bottom w:val="single" w:sz="6" w:space="0" w:color="0075C9"/>
            </w:tcBorders>
            <w:noWrap/>
            <w:tcMar>
              <w:top w:w="0" w:type="dxa"/>
              <w:left w:w="144" w:type="dxa"/>
              <w:bottom w:w="0" w:type="dxa"/>
              <w:right w:w="0" w:type="dxa"/>
            </w:tcMar>
            <w:hideMark/>
          </w:tcPr>
          <w:p w14:paraId="6420AE4B" w14:textId="77777777" w:rsidR="007C020B" w:rsidRDefault="007C020B" w:rsidP="007C020B">
            <w:pPr>
              <w:pStyle w:val="NormalWeb"/>
              <w:tabs>
                <w:tab w:val="right" w:pos="860"/>
                <w:tab w:val="decimal" w:pos="900"/>
              </w:tabs>
              <w:spacing w:before="0" w:beforeAutospacing="0" w:after="20" w:afterAutospacing="0"/>
              <w:rPr>
                <w:rFonts w:ascii="Arial" w:hAnsi="Arial" w:cs="Arial"/>
                <w:sz w:val="17"/>
                <w:szCs w:val="17"/>
              </w:rPr>
            </w:pPr>
            <w:r>
              <w:rPr>
                <w:rFonts w:ascii="Arial" w:hAnsi="Arial" w:cs="Arial"/>
                <w:sz w:val="17"/>
                <w:szCs w:val="17"/>
              </w:rPr>
              <w:tab/>
              <w:t>81.68%</w:t>
            </w:r>
            <w:r>
              <w:rPr>
                <w:rFonts w:ascii="Arial" w:hAnsi="Arial" w:cs="Arial"/>
                <w:sz w:val="17"/>
                <w:szCs w:val="17"/>
              </w:rPr>
              <w:tab/>
            </w:r>
          </w:p>
        </w:tc>
      </w:tr>
      <w:tr w:rsidR="007C020B" w14:paraId="5B1AE353" w14:textId="77777777" w:rsidTr="00FE0A0A">
        <w:trPr>
          <w:cantSplit/>
        </w:trPr>
        <w:tc>
          <w:tcPr>
            <w:tcW w:w="3352" w:type="dxa"/>
            <w:tcBorders>
              <w:bottom w:val="single" w:sz="6" w:space="0" w:color="0075C9"/>
            </w:tcBorders>
            <w:tcMar>
              <w:top w:w="0" w:type="dxa"/>
              <w:left w:w="0" w:type="dxa"/>
              <w:bottom w:w="20" w:type="dxa"/>
              <w:right w:w="0" w:type="dxa"/>
            </w:tcMar>
            <w:vAlign w:val="center"/>
            <w:hideMark/>
          </w:tcPr>
          <w:p w14:paraId="188F22B5" w14:textId="77777777" w:rsidR="007C020B" w:rsidRPr="00306F7C" w:rsidRDefault="007C020B" w:rsidP="007C020B">
            <w:pPr>
              <w:pStyle w:val="NormalWeb"/>
              <w:spacing w:before="0" w:beforeAutospacing="0" w:after="0" w:afterAutospacing="0"/>
              <w:ind w:left="113"/>
              <w:rPr>
                <w:rFonts w:ascii="Arial" w:hAnsi="Arial" w:cs="Arial"/>
                <w:sz w:val="17"/>
                <w:szCs w:val="17"/>
              </w:rPr>
            </w:pPr>
            <w:r>
              <w:rPr>
                <w:rFonts w:ascii="Arial" w:hAnsi="Arial" w:cs="Arial"/>
                <w:b/>
                <w:bCs/>
                <w:color w:val="0075C9"/>
                <w:sz w:val="17"/>
                <w:szCs w:val="17"/>
              </w:rPr>
              <w:t> </w:t>
            </w:r>
            <w:r>
              <w:rPr>
                <w:rFonts w:ascii="Arial" w:hAnsi="Arial" w:cs="Arial"/>
                <w:b/>
                <w:bCs/>
                <w:color w:val="0075C9"/>
                <w:sz w:val="17"/>
                <w:szCs w:val="17"/>
              </w:rPr>
              <w:t>Microsoft Cloud Subscribers Growth</w:t>
            </w:r>
          </w:p>
        </w:tc>
        <w:tc>
          <w:tcPr>
            <w:tcW w:w="1144" w:type="dxa"/>
            <w:tcBorders>
              <w:bottom w:val="single" w:sz="6" w:space="0" w:color="0075C9"/>
            </w:tcBorders>
            <w:noWrap/>
            <w:tcMar>
              <w:top w:w="0" w:type="dxa"/>
              <w:left w:w="144" w:type="dxa"/>
              <w:bottom w:w="0" w:type="dxa"/>
              <w:right w:w="0" w:type="dxa"/>
            </w:tcMar>
            <w:hideMark/>
          </w:tcPr>
          <w:p w14:paraId="463333F9" w14:textId="265587F9" w:rsidR="007C020B" w:rsidRPr="007C020B" w:rsidRDefault="007C020B" w:rsidP="007C020B">
            <w:pPr>
              <w:rPr>
                <w:rFonts w:ascii="Arial" w:hAnsi="Arial" w:cs="Arial"/>
                <w:color w:val="FFFFFF" w:themeColor="background1"/>
                <w:sz w:val="17"/>
                <w:szCs w:val="17"/>
              </w:rPr>
            </w:pPr>
            <w:r w:rsidRPr="007C020B">
              <w:rPr>
                <w:rFonts w:ascii="Arial" w:hAnsi="Arial" w:cs="Arial"/>
                <w:color w:val="FFFFFF" w:themeColor="background1"/>
                <w:sz w:val="17"/>
                <w:szCs w:val="17"/>
              </w:rPr>
              <w:t>NA</w:t>
            </w:r>
          </w:p>
        </w:tc>
        <w:tc>
          <w:tcPr>
            <w:tcW w:w="1144" w:type="dxa"/>
            <w:tcBorders>
              <w:bottom w:val="single" w:sz="6" w:space="0" w:color="0075C9"/>
            </w:tcBorders>
            <w:noWrap/>
            <w:tcMar>
              <w:top w:w="0" w:type="dxa"/>
              <w:left w:w="144" w:type="dxa"/>
              <w:bottom w:w="0" w:type="dxa"/>
              <w:right w:w="0" w:type="dxa"/>
            </w:tcMar>
            <w:hideMark/>
          </w:tcPr>
          <w:p w14:paraId="355DB678" w14:textId="77777777" w:rsidR="007C020B" w:rsidRPr="00306F7C" w:rsidRDefault="007C020B" w:rsidP="007C020B">
            <w:pPr>
              <w:pStyle w:val="NormalWeb"/>
              <w:tabs>
                <w:tab w:val="right" w:pos="960"/>
                <w:tab w:val="decimal" w:pos="1000"/>
              </w:tabs>
              <w:spacing w:before="0" w:beforeAutospacing="0" w:after="20" w:afterAutospacing="0"/>
              <w:rPr>
                <w:rFonts w:ascii="Arial" w:hAnsi="Arial" w:cs="Arial"/>
                <w:sz w:val="17"/>
                <w:szCs w:val="17"/>
              </w:rPr>
            </w:pPr>
            <w:r>
              <w:rPr>
                <w:rFonts w:ascii="Arial" w:hAnsi="Arial" w:cs="Arial"/>
                <w:sz w:val="17"/>
                <w:szCs w:val="17"/>
              </w:rPr>
              <w:tab/>
              <w:t>20%</w:t>
            </w:r>
            <w:r>
              <w:rPr>
                <w:rFonts w:ascii="Arial" w:hAnsi="Arial" w:cs="Arial"/>
                <w:sz w:val="17"/>
                <w:szCs w:val="17"/>
              </w:rPr>
              <w:tab/>
            </w:r>
          </w:p>
        </w:tc>
        <w:tc>
          <w:tcPr>
            <w:tcW w:w="1104" w:type="dxa"/>
            <w:tcBorders>
              <w:bottom w:val="single" w:sz="6" w:space="0" w:color="0075C9"/>
            </w:tcBorders>
            <w:noWrap/>
            <w:tcMar>
              <w:top w:w="0" w:type="dxa"/>
              <w:left w:w="144" w:type="dxa"/>
              <w:bottom w:w="0" w:type="dxa"/>
              <w:right w:w="0" w:type="dxa"/>
            </w:tcMar>
            <w:hideMark/>
          </w:tcPr>
          <w:p w14:paraId="672DD95B" w14:textId="77777777" w:rsidR="007C020B" w:rsidRDefault="007C020B" w:rsidP="007C020B">
            <w:pPr>
              <w:pStyle w:val="NormalWeb"/>
              <w:tabs>
                <w:tab w:val="right" w:pos="920"/>
                <w:tab w:val="decimal" w:pos="960"/>
              </w:tabs>
              <w:spacing w:before="0" w:beforeAutospacing="0" w:after="20" w:afterAutospacing="0"/>
              <w:rPr>
                <w:rFonts w:ascii="Arial" w:hAnsi="Arial" w:cs="Arial"/>
                <w:sz w:val="17"/>
                <w:szCs w:val="17"/>
              </w:rPr>
            </w:pPr>
            <w:r>
              <w:rPr>
                <w:rFonts w:ascii="Arial" w:hAnsi="Arial" w:cs="Arial"/>
                <w:sz w:val="17"/>
                <w:szCs w:val="17"/>
              </w:rPr>
              <w:tab/>
              <w:t>8.96%</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64F86800" w14:textId="77777777" w:rsidR="007C020B" w:rsidRDefault="007C020B" w:rsidP="007C020B">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18.57%</w:t>
            </w:r>
            <w:r>
              <w:rPr>
                <w:rFonts w:ascii="Arial" w:hAnsi="Arial" w:cs="Arial"/>
                <w:sz w:val="17"/>
                <w:szCs w:val="17"/>
              </w:rPr>
              <w:tab/>
            </w:r>
          </w:p>
        </w:tc>
        <w:tc>
          <w:tcPr>
            <w:tcW w:w="1124" w:type="dxa"/>
            <w:tcBorders>
              <w:bottom w:val="single" w:sz="6" w:space="0" w:color="0075C9"/>
            </w:tcBorders>
            <w:noWrap/>
            <w:tcMar>
              <w:top w:w="0" w:type="dxa"/>
              <w:left w:w="144" w:type="dxa"/>
              <w:bottom w:w="0" w:type="dxa"/>
              <w:right w:w="0" w:type="dxa"/>
            </w:tcMar>
            <w:hideMark/>
          </w:tcPr>
          <w:p w14:paraId="28BAB014" w14:textId="77777777" w:rsidR="007C020B" w:rsidRDefault="007C020B" w:rsidP="007C020B">
            <w:pPr>
              <w:pStyle w:val="NormalWeb"/>
              <w:tabs>
                <w:tab w:val="right" w:pos="940"/>
                <w:tab w:val="decimal" w:pos="980"/>
              </w:tabs>
              <w:spacing w:before="0" w:beforeAutospacing="0" w:after="20" w:afterAutospacing="0"/>
              <w:rPr>
                <w:rFonts w:ascii="Arial" w:hAnsi="Arial" w:cs="Arial"/>
                <w:sz w:val="17"/>
                <w:szCs w:val="17"/>
              </w:rPr>
            </w:pPr>
            <w:r>
              <w:rPr>
                <w:rFonts w:ascii="Arial" w:hAnsi="Arial" w:cs="Arial"/>
                <w:sz w:val="17"/>
                <w:szCs w:val="17"/>
              </w:rPr>
              <w:tab/>
              <w:t>28.88%</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1D01AE35" w14:textId="77777777" w:rsidR="007C020B" w:rsidRDefault="007C020B" w:rsidP="007C020B">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14.12%</w:t>
            </w:r>
            <w:r>
              <w:rPr>
                <w:rFonts w:ascii="Arial" w:hAnsi="Arial" w:cs="Arial"/>
                <w:sz w:val="17"/>
                <w:szCs w:val="17"/>
              </w:rPr>
              <w:tab/>
            </w:r>
          </w:p>
        </w:tc>
        <w:tc>
          <w:tcPr>
            <w:tcW w:w="1044" w:type="dxa"/>
            <w:tcBorders>
              <w:bottom w:val="single" w:sz="6" w:space="0" w:color="0075C9"/>
            </w:tcBorders>
            <w:noWrap/>
            <w:tcMar>
              <w:top w:w="0" w:type="dxa"/>
              <w:left w:w="144" w:type="dxa"/>
              <w:bottom w:w="0" w:type="dxa"/>
              <w:right w:w="0" w:type="dxa"/>
            </w:tcMar>
            <w:hideMark/>
          </w:tcPr>
          <w:p w14:paraId="6484F0E8" w14:textId="77777777" w:rsidR="007C020B" w:rsidRDefault="007C020B" w:rsidP="007C020B">
            <w:pPr>
              <w:pStyle w:val="NormalWeb"/>
              <w:tabs>
                <w:tab w:val="right" w:pos="860"/>
                <w:tab w:val="decimal" w:pos="900"/>
              </w:tabs>
              <w:spacing w:before="0" w:beforeAutospacing="0" w:after="20" w:afterAutospacing="0"/>
              <w:rPr>
                <w:rFonts w:ascii="Arial" w:hAnsi="Arial" w:cs="Arial"/>
                <w:sz w:val="17"/>
                <w:szCs w:val="17"/>
              </w:rPr>
            </w:pPr>
            <w:r>
              <w:rPr>
                <w:rFonts w:ascii="Arial" w:hAnsi="Arial" w:cs="Arial"/>
                <w:sz w:val="17"/>
                <w:szCs w:val="17"/>
              </w:rPr>
              <w:tab/>
              <w:t>76.85%</w:t>
            </w:r>
            <w:r>
              <w:rPr>
                <w:rFonts w:ascii="Arial" w:hAnsi="Arial" w:cs="Arial"/>
                <w:sz w:val="17"/>
                <w:szCs w:val="17"/>
              </w:rPr>
              <w:tab/>
            </w:r>
          </w:p>
        </w:tc>
      </w:tr>
      <w:tr w:rsidR="007C020B" w14:paraId="4DD706CF" w14:textId="77777777" w:rsidTr="00FE0A0A">
        <w:trPr>
          <w:cantSplit/>
        </w:trPr>
        <w:tc>
          <w:tcPr>
            <w:tcW w:w="3352" w:type="dxa"/>
            <w:tcBorders>
              <w:bottom w:val="single" w:sz="6" w:space="0" w:color="0075C9"/>
            </w:tcBorders>
            <w:tcMar>
              <w:top w:w="0" w:type="dxa"/>
              <w:left w:w="0" w:type="dxa"/>
              <w:bottom w:w="20" w:type="dxa"/>
              <w:right w:w="0" w:type="dxa"/>
            </w:tcMar>
            <w:vAlign w:val="center"/>
            <w:hideMark/>
          </w:tcPr>
          <w:p w14:paraId="08896773" w14:textId="77777777" w:rsidR="007C020B" w:rsidRPr="00306F7C" w:rsidRDefault="007C020B" w:rsidP="007C020B">
            <w:pPr>
              <w:pStyle w:val="NormalWeb"/>
              <w:spacing w:before="0" w:beforeAutospacing="0" w:after="0" w:afterAutospacing="0"/>
              <w:ind w:left="113"/>
              <w:rPr>
                <w:rFonts w:ascii="Arial" w:hAnsi="Arial" w:cs="Arial"/>
                <w:sz w:val="17"/>
                <w:szCs w:val="17"/>
              </w:rPr>
            </w:pPr>
            <w:r>
              <w:rPr>
                <w:rFonts w:ascii="Arial" w:hAnsi="Arial" w:cs="Arial"/>
                <w:b/>
                <w:bCs/>
                <w:color w:val="0075C9"/>
                <w:sz w:val="17"/>
                <w:szCs w:val="17"/>
              </w:rPr>
              <w:t> </w:t>
            </w:r>
            <w:r>
              <w:rPr>
                <w:rFonts w:ascii="Arial" w:hAnsi="Arial" w:cs="Arial"/>
                <w:b/>
                <w:bCs/>
                <w:color w:val="0075C9"/>
                <w:sz w:val="17"/>
                <w:szCs w:val="17"/>
              </w:rPr>
              <w:t>Teams Monthly Active Usage Growth</w:t>
            </w:r>
          </w:p>
        </w:tc>
        <w:tc>
          <w:tcPr>
            <w:tcW w:w="1144" w:type="dxa"/>
            <w:tcBorders>
              <w:bottom w:val="single" w:sz="6" w:space="0" w:color="0075C9"/>
            </w:tcBorders>
            <w:noWrap/>
            <w:tcMar>
              <w:top w:w="0" w:type="dxa"/>
              <w:left w:w="144" w:type="dxa"/>
              <w:bottom w:w="0" w:type="dxa"/>
              <w:right w:w="0" w:type="dxa"/>
            </w:tcMar>
            <w:hideMark/>
          </w:tcPr>
          <w:p w14:paraId="1A524C8B" w14:textId="3A4E142E" w:rsidR="007C020B" w:rsidRPr="007C020B" w:rsidRDefault="007C020B" w:rsidP="007C020B">
            <w:pPr>
              <w:rPr>
                <w:rFonts w:ascii="Arial" w:hAnsi="Arial" w:cs="Arial"/>
                <w:color w:val="FFFFFF" w:themeColor="background1"/>
                <w:sz w:val="17"/>
                <w:szCs w:val="17"/>
              </w:rPr>
            </w:pPr>
            <w:r w:rsidRPr="007C020B">
              <w:rPr>
                <w:rFonts w:ascii="Arial" w:hAnsi="Arial" w:cs="Arial"/>
                <w:color w:val="FFFFFF" w:themeColor="background1"/>
                <w:sz w:val="17"/>
                <w:szCs w:val="17"/>
              </w:rPr>
              <w:t>NA</w:t>
            </w:r>
          </w:p>
        </w:tc>
        <w:tc>
          <w:tcPr>
            <w:tcW w:w="1144" w:type="dxa"/>
            <w:tcBorders>
              <w:bottom w:val="single" w:sz="6" w:space="0" w:color="0075C9"/>
            </w:tcBorders>
            <w:noWrap/>
            <w:tcMar>
              <w:top w:w="0" w:type="dxa"/>
              <w:left w:w="144" w:type="dxa"/>
              <w:bottom w:w="0" w:type="dxa"/>
              <w:right w:w="0" w:type="dxa"/>
            </w:tcMar>
            <w:hideMark/>
          </w:tcPr>
          <w:p w14:paraId="624F38F3" w14:textId="77777777" w:rsidR="007C020B" w:rsidRPr="00306F7C" w:rsidRDefault="007C020B" w:rsidP="007C020B">
            <w:pPr>
              <w:pStyle w:val="NormalWeb"/>
              <w:tabs>
                <w:tab w:val="right" w:pos="960"/>
                <w:tab w:val="decimal" w:pos="1000"/>
              </w:tabs>
              <w:spacing w:before="0" w:beforeAutospacing="0" w:after="20" w:afterAutospacing="0"/>
              <w:rPr>
                <w:rFonts w:ascii="Arial" w:hAnsi="Arial" w:cs="Arial"/>
                <w:sz w:val="17"/>
                <w:szCs w:val="17"/>
              </w:rPr>
            </w:pPr>
            <w:r>
              <w:rPr>
                <w:rFonts w:ascii="Arial" w:hAnsi="Arial" w:cs="Arial"/>
                <w:sz w:val="17"/>
                <w:szCs w:val="17"/>
              </w:rPr>
              <w:tab/>
              <w:t>20%</w:t>
            </w:r>
            <w:r>
              <w:rPr>
                <w:rFonts w:ascii="Arial" w:hAnsi="Arial" w:cs="Arial"/>
                <w:sz w:val="17"/>
                <w:szCs w:val="17"/>
              </w:rPr>
              <w:tab/>
            </w:r>
          </w:p>
        </w:tc>
        <w:tc>
          <w:tcPr>
            <w:tcW w:w="1104" w:type="dxa"/>
            <w:tcBorders>
              <w:bottom w:val="single" w:sz="6" w:space="0" w:color="0075C9"/>
            </w:tcBorders>
            <w:noWrap/>
            <w:tcMar>
              <w:top w:w="0" w:type="dxa"/>
              <w:left w:w="144" w:type="dxa"/>
              <w:bottom w:w="0" w:type="dxa"/>
              <w:right w:w="0" w:type="dxa"/>
            </w:tcMar>
            <w:hideMark/>
          </w:tcPr>
          <w:p w14:paraId="1448B4EC" w14:textId="77777777" w:rsidR="007C020B" w:rsidRDefault="007C020B" w:rsidP="007C020B">
            <w:pPr>
              <w:pStyle w:val="NormalWeb"/>
              <w:tabs>
                <w:tab w:val="right" w:pos="920"/>
                <w:tab w:val="decimal" w:pos="960"/>
              </w:tabs>
              <w:spacing w:before="0" w:beforeAutospacing="0" w:after="20" w:afterAutospacing="0"/>
              <w:rPr>
                <w:rFonts w:ascii="Arial" w:hAnsi="Arial" w:cs="Arial"/>
                <w:sz w:val="17"/>
                <w:szCs w:val="17"/>
              </w:rPr>
            </w:pPr>
            <w:r>
              <w:rPr>
                <w:rFonts w:ascii="Arial" w:hAnsi="Arial" w:cs="Arial"/>
                <w:sz w:val="17"/>
                <w:szCs w:val="17"/>
              </w:rPr>
              <w:tab/>
              <w:t>-12.80%</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445171C3" w14:textId="77777777" w:rsidR="007C020B" w:rsidRDefault="007C020B" w:rsidP="007C020B">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5.58%</w:t>
            </w:r>
            <w:r>
              <w:rPr>
                <w:rFonts w:ascii="Arial" w:hAnsi="Arial" w:cs="Arial"/>
                <w:sz w:val="17"/>
                <w:szCs w:val="17"/>
              </w:rPr>
              <w:tab/>
            </w:r>
          </w:p>
        </w:tc>
        <w:tc>
          <w:tcPr>
            <w:tcW w:w="1124" w:type="dxa"/>
            <w:tcBorders>
              <w:bottom w:val="single" w:sz="6" w:space="0" w:color="0075C9"/>
            </w:tcBorders>
            <w:noWrap/>
            <w:tcMar>
              <w:top w:w="0" w:type="dxa"/>
              <w:left w:w="144" w:type="dxa"/>
              <w:bottom w:w="0" w:type="dxa"/>
              <w:right w:w="0" w:type="dxa"/>
            </w:tcMar>
            <w:hideMark/>
          </w:tcPr>
          <w:p w14:paraId="0386303E" w14:textId="77777777" w:rsidR="007C020B" w:rsidRDefault="007C020B" w:rsidP="007C020B">
            <w:pPr>
              <w:pStyle w:val="NormalWeb"/>
              <w:tabs>
                <w:tab w:val="right" w:pos="940"/>
                <w:tab w:val="decimal" w:pos="980"/>
              </w:tabs>
              <w:spacing w:before="0" w:beforeAutospacing="0" w:after="20" w:afterAutospacing="0"/>
              <w:rPr>
                <w:rFonts w:ascii="Arial" w:hAnsi="Arial" w:cs="Arial"/>
                <w:sz w:val="17"/>
                <w:szCs w:val="17"/>
              </w:rPr>
            </w:pPr>
            <w:r>
              <w:rPr>
                <w:rFonts w:ascii="Arial" w:hAnsi="Arial" w:cs="Arial"/>
                <w:sz w:val="17"/>
                <w:szCs w:val="17"/>
              </w:rPr>
              <w:tab/>
              <w:t>22.14%</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4DF56B4D" w14:textId="77777777" w:rsidR="007C020B" w:rsidRDefault="007C020B" w:rsidP="007C020B">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12.39%</w:t>
            </w:r>
            <w:r>
              <w:rPr>
                <w:rFonts w:ascii="Arial" w:hAnsi="Arial" w:cs="Arial"/>
                <w:sz w:val="17"/>
                <w:szCs w:val="17"/>
              </w:rPr>
              <w:tab/>
            </w:r>
          </w:p>
        </w:tc>
        <w:tc>
          <w:tcPr>
            <w:tcW w:w="1044" w:type="dxa"/>
            <w:tcBorders>
              <w:bottom w:val="single" w:sz="6" w:space="0" w:color="0075C9"/>
            </w:tcBorders>
            <w:noWrap/>
            <w:tcMar>
              <w:top w:w="0" w:type="dxa"/>
              <w:left w:w="144" w:type="dxa"/>
              <w:bottom w:w="0" w:type="dxa"/>
              <w:right w:w="0" w:type="dxa"/>
            </w:tcMar>
            <w:hideMark/>
          </w:tcPr>
          <w:p w14:paraId="5B224C54" w14:textId="77777777" w:rsidR="007C020B" w:rsidRDefault="007C020B" w:rsidP="007C020B">
            <w:pPr>
              <w:pStyle w:val="NormalWeb"/>
              <w:tabs>
                <w:tab w:val="right" w:pos="860"/>
                <w:tab w:val="decimal" w:pos="900"/>
              </w:tabs>
              <w:spacing w:before="0" w:beforeAutospacing="0" w:after="20" w:afterAutospacing="0"/>
              <w:rPr>
                <w:rFonts w:ascii="Arial" w:hAnsi="Arial" w:cs="Arial"/>
                <w:sz w:val="17"/>
                <w:szCs w:val="17"/>
              </w:rPr>
            </w:pPr>
            <w:r>
              <w:rPr>
                <w:rFonts w:ascii="Arial" w:hAnsi="Arial" w:cs="Arial"/>
                <w:sz w:val="17"/>
                <w:szCs w:val="17"/>
              </w:rPr>
              <w:tab/>
              <w:t>141.12%</w:t>
            </w:r>
            <w:r>
              <w:rPr>
                <w:rFonts w:ascii="Arial" w:hAnsi="Arial" w:cs="Arial"/>
                <w:sz w:val="17"/>
                <w:szCs w:val="17"/>
              </w:rPr>
              <w:tab/>
            </w:r>
          </w:p>
        </w:tc>
      </w:tr>
      <w:tr w:rsidR="007C020B" w14:paraId="1EB3E91D" w14:textId="77777777" w:rsidTr="00FE0A0A">
        <w:trPr>
          <w:cantSplit/>
        </w:trPr>
        <w:tc>
          <w:tcPr>
            <w:tcW w:w="3352" w:type="dxa"/>
            <w:tcBorders>
              <w:bottom w:val="single" w:sz="6" w:space="0" w:color="0075C9"/>
            </w:tcBorders>
            <w:tcMar>
              <w:top w:w="0" w:type="dxa"/>
              <w:left w:w="0" w:type="dxa"/>
              <w:bottom w:w="20" w:type="dxa"/>
              <w:right w:w="0" w:type="dxa"/>
            </w:tcMar>
            <w:vAlign w:val="center"/>
            <w:hideMark/>
          </w:tcPr>
          <w:p w14:paraId="7C0E52E8" w14:textId="77777777" w:rsidR="007C020B" w:rsidRPr="00306F7C" w:rsidRDefault="007C020B" w:rsidP="007C020B">
            <w:pPr>
              <w:pStyle w:val="NormalWeb"/>
              <w:spacing w:before="0" w:beforeAutospacing="0" w:after="0" w:afterAutospacing="0"/>
              <w:ind w:left="270" w:hanging="155"/>
              <w:rPr>
                <w:rFonts w:ascii="Arial" w:hAnsi="Arial" w:cs="Arial"/>
                <w:sz w:val="17"/>
                <w:szCs w:val="17"/>
              </w:rPr>
            </w:pPr>
            <w:r>
              <w:rPr>
                <w:rFonts w:ascii="Arial" w:hAnsi="Arial" w:cs="Arial"/>
                <w:b/>
                <w:bCs/>
                <w:color w:val="0075C9"/>
                <w:sz w:val="17"/>
                <w:szCs w:val="17"/>
              </w:rPr>
              <w:t> </w:t>
            </w:r>
            <w:r>
              <w:rPr>
                <w:rFonts w:ascii="Arial" w:hAnsi="Arial" w:cs="Arial"/>
                <w:b/>
                <w:bCs/>
                <w:color w:val="0075C9"/>
                <w:sz w:val="17"/>
                <w:szCs w:val="17"/>
              </w:rPr>
              <w:t>Xbox Content and Services Revenue Growth</w:t>
            </w:r>
            <w:r>
              <w:rPr>
                <w:rFonts w:ascii="Arial" w:hAnsi="Arial" w:cs="Arial"/>
                <w:b/>
                <w:bCs/>
                <w:color w:val="0075C9"/>
                <w:sz w:val="13"/>
                <w:szCs w:val="13"/>
                <w:vertAlign w:val="superscript"/>
              </w:rPr>
              <w:t>3</w:t>
            </w:r>
          </w:p>
        </w:tc>
        <w:tc>
          <w:tcPr>
            <w:tcW w:w="1144" w:type="dxa"/>
            <w:tcBorders>
              <w:bottom w:val="single" w:sz="6" w:space="0" w:color="0075C9"/>
            </w:tcBorders>
            <w:noWrap/>
            <w:tcMar>
              <w:top w:w="0" w:type="dxa"/>
              <w:left w:w="144" w:type="dxa"/>
              <w:bottom w:w="0" w:type="dxa"/>
              <w:right w:w="0" w:type="dxa"/>
            </w:tcMar>
            <w:hideMark/>
          </w:tcPr>
          <w:p w14:paraId="4C8F8365" w14:textId="6068EF71" w:rsidR="007C020B" w:rsidRPr="007C020B" w:rsidRDefault="007C020B" w:rsidP="007C020B">
            <w:pPr>
              <w:rPr>
                <w:rFonts w:ascii="Arial" w:hAnsi="Arial" w:cs="Arial"/>
                <w:color w:val="FFFFFF" w:themeColor="background1"/>
                <w:sz w:val="17"/>
                <w:szCs w:val="17"/>
              </w:rPr>
            </w:pPr>
            <w:r w:rsidRPr="007C020B">
              <w:rPr>
                <w:rFonts w:ascii="Arial" w:hAnsi="Arial" w:cs="Arial"/>
                <w:color w:val="FFFFFF" w:themeColor="background1"/>
                <w:sz w:val="17"/>
                <w:szCs w:val="17"/>
              </w:rPr>
              <w:t>NA</w:t>
            </w:r>
          </w:p>
        </w:tc>
        <w:tc>
          <w:tcPr>
            <w:tcW w:w="1144" w:type="dxa"/>
            <w:tcBorders>
              <w:bottom w:val="single" w:sz="6" w:space="0" w:color="0075C9"/>
            </w:tcBorders>
            <w:noWrap/>
            <w:tcMar>
              <w:top w:w="0" w:type="dxa"/>
              <w:left w:w="144" w:type="dxa"/>
              <w:bottom w:w="0" w:type="dxa"/>
              <w:right w:w="0" w:type="dxa"/>
            </w:tcMar>
            <w:hideMark/>
          </w:tcPr>
          <w:p w14:paraId="38B08FEF" w14:textId="77777777" w:rsidR="007C020B" w:rsidRPr="00306F7C" w:rsidRDefault="007C020B" w:rsidP="007C020B">
            <w:pPr>
              <w:pStyle w:val="NormalWeb"/>
              <w:tabs>
                <w:tab w:val="right" w:pos="960"/>
                <w:tab w:val="decimal" w:pos="1000"/>
              </w:tabs>
              <w:spacing w:before="0" w:beforeAutospacing="0" w:after="20" w:afterAutospacing="0"/>
              <w:rPr>
                <w:rFonts w:ascii="Arial" w:hAnsi="Arial" w:cs="Arial"/>
                <w:sz w:val="17"/>
                <w:szCs w:val="17"/>
              </w:rPr>
            </w:pPr>
            <w:r>
              <w:rPr>
                <w:rFonts w:ascii="Arial" w:hAnsi="Arial" w:cs="Arial"/>
                <w:sz w:val="17"/>
                <w:szCs w:val="17"/>
              </w:rPr>
              <w:tab/>
              <w:t>10%</w:t>
            </w:r>
            <w:r>
              <w:rPr>
                <w:rFonts w:ascii="Arial" w:hAnsi="Arial" w:cs="Arial"/>
                <w:sz w:val="17"/>
                <w:szCs w:val="17"/>
              </w:rPr>
              <w:tab/>
            </w:r>
          </w:p>
        </w:tc>
        <w:tc>
          <w:tcPr>
            <w:tcW w:w="1104" w:type="dxa"/>
            <w:tcBorders>
              <w:bottom w:val="single" w:sz="6" w:space="0" w:color="0075C9"/>
            </w:tcBorders>
            <w:noWrap/>
            <w:tcMar>
              <w:top w:w="0" w:type="dxa"/>
              <w:left w:w="144" w:type="dxa"/>
              <w:bottom w:w="0" w:type="dxa"/>
              <w:right w:w="0" w:type="dxa"/>
            </w:tcMar>
            <w:hideMark/>
          </w:tcPr>
          <w:p w14:paraId="688EA049" w14:textId="77777777" w:rsidR="007C020B" w:rsidRDefault="007C020B" w:rsidP="007C020B">
            <w:pPr>
              <w:pStyle w:val="NormalWeb"/>
              <w:tabs>
                <w:tab w:val="right" w:pos="920"/>
                <w:tab w:val="decimal" w:pos="960"/>
              </w:tabs>
              <w:spacing w:before="0" w:beforeAutospacing="0" w:after="20" w:afterAutospacing="0"/>
              <w:rPr>
                <w:rFonts w:ascii="Arial" w:hAnsi="Arial" w:cs="Arial"/>
                <w:sz w:val="17"/>
                <w:szCs w:val="17"/>
              </w:rPr>
            </w:pPr>
            <w:r>
              <w:rPr>
                <w:rFonts w:ascii="Arial" w:hAnsi="Arial" w:cs="Arial"/>
                <w:sz w:val="17"/>
                <w:szCs w:val="17"/>
              </w:rPr>
              <w:tab/>
              <w:t>-16.45%</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42A7EFE7" w14:textId="77777777" w:rsidR="007C020B" w:rsidRDefault="007C020B" w:rsidP="007C020B">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4.44%</w:t>
            </w:r>
            <w:r>
              <w:rPr>
                <w:rFonts w:ascii="Arial" w:hAnsi="Arial" w:cs="Arial"/>
                <w:sz w:val="17"/>
                <w:szCs w:val="17"/>
              </w:rPr>
              <w:tab/>
            </w:r>
          </w:p>
        </w:tc>
        <w:tc>
          <w:tcPr>
            <w:tcW w:w="1124" w:type="dxa"/>
            <w:tcBorders>
              <w:bottom w:val="single" w:sz="6" w:space="0" w:color="0075C9"/>
            </w:tcBorders>
            <w:noWrap/>
            <w:tcMar>
              <w:top w:w="0" w:type="dxa"/>
              <w:left w:w="144" w:type="dxa"/>
              <w:bottom w:w="0" w:type="dxa"/>
              <w:right w:w="0" w:type="dxa"/>
            </w:tcMar>
            <w:hideMark/>
          </w:tcPr>
          <w:p w14:paraId="3FAB5386" w14:textId="77777777" w:rsidR="007C020B" w:rsidRDefault="007C020B" w:rsidP="007C020B">
            <w:pPr>
              <w:pStyle w:val="NormalWeb"/>
              <w:tabs>
                <w:tab w:val="right" w:pos="940"/>
                <w:tab w:val="decimal" w:pos="980"/>
              </w:tabs>
              <w:spacing w:before="0" w:beforeAutospacing="0" w:after="20" w:afterAutospacing="0"/>
              <w:rPr>
                <w:rFonts w:ascii="Arial" w:hAnsi="Arial" w:cs="Arial"/>
                <w:sz w:val="17"/>
                <w:szCs w:val="17"/>
              </w:rPr>
            </w:pPr>
            <w:r>
              <w:rPr>
                <w:rFonts w:ascii="Arial" w:hAnsi="Arial" w:cs="Arial"/>
                <w:sz w:val="17"/>
                <w:szCs w:val="17"/>
              </w:rPr>
              <w:tab/>
              <w:t>25.33%</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2AB01705" w14:textId="77777777" w:rsidR="007C020B" w:rsidRDefault="007C020B" w:rsidP="007C020B">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0.70%</w:t>
            </w:r>
            <w:r>
              <w:rPr>
                <w:rFonts w:ascii="Arial" w:hAnsi="Arial" w:cs="Arial"/>
                <w:sz w:val="17"/>
                <w:szCs w:val="17"/>
              </w:rPr>
              <w:tab/>
            </w:r>
          </w:p>
        </w:tc>
        <w:tc>
          <w:tcPr>
            <w:tcW w:w="1044" w:type="dxa"/>
            <w:tcBorders>
              <w:bottom w:val="single" w:sz="6" w:space="0" w:color="0075C9"/>
            </w:tcBorders>
            <w:noWrap/>
            <w:tcMar>
              <w:top w:w="0" w:type="dxa"/>
              <w:left w:w="144" w:type="dxa"/>
              <w:bottom w:w="0" w:type="dxa"/>
              <w:right w:w="0" w:type="dxa"/>
            </w:tcMar>
            <w:hideMark/>
          </w:tcPr>
          <w:p w14:paraId="406FDE67" w14:textId="77777777" w:rsidR="007C020B" w:rsidRDefault="007C020B" w:rsidP="007C020B">
            <w:pPr>
              <w:pStyle w:val="NormalWeb"/>
              <w:tabs>
                <w:tab w:val="right" w:pos="860"/>
                <w:tab w:val="decimal" w:pos="900"/>
              </w:tabs>
              <w:spacing w:before="0" w:beforeAutospacing="0" w:after="20" w:afterAutospacing="0"/>
              <w:rPr>
                <w:rFonts w:ascii="Arial" w:hAnsi="Arial" w:cs="Arial"/>
                <w:sz w:val="17"/>
                <w:szCs w:val="17"/>
              </w:rPr>
            </w:pPr>
            <w:r>
              <w:rPr>
                <w:rFonts w:ascii="Arial" w:hAnsi="Arial" w:cs="Arial"/>
                <w:sz w:val="17"/>
                <w:szCs w:val="17"/>
              </w:rPr>
              <w:tab/>
              <w:t>91.05%</w:t>
            </w:r>
            <w:r>
              <w:rPr>
                <w:rFonts w:ascii="Arial" w:hAnsi="Arial" w:cs="Arial"/>
                <w:sz w:val="17"/>
                <w:szCs w:val="17"/>
              </w:rPr>
              <w:tab/>
            </w:r>
          </w:p>
        </w:tc>
      </w:tr>
      <w:tr w:rsidR="007C020B" w14:paraId="37439497" w14:textId="77777777" w:rsidTr="00FE0A0A">
        <w:trPr>
          <w:cantSplit/>
        </w:trPr>
        <w:tc>
          <w:tcPr>
            <w:tcW w:w="3352" w:type="dxa"/>
            <w:tcBorders>
              <w:bottom w:val="single" w:sz="6" w:space="0" w:color="0075C9"/>
            </w:tcBorders>
            <w:tcMar>
              <w:top w:w="0" w:type="dxa"/>
              <w:left w:w="0" w:type="dxa"/>
              <w:bottom w:w="20" w:type="dxa"/>
              <w:right w:w="0" w:type="dxa"/>
            </w:tcMar>
            <w:vAlign w:val="center"/>
            <w:hideMark/>
          </w:tcPr>
          <w:p w14:paraId="3A593D54" w14:textId="77777777" w:rsidR="007C020B" w:rsidRPr="0094096C" w:rsidRDefault="007C020B" w:rsidP="007C020B">
            <w:pPr>
              <w:pStyle w:val="NormalWeb"/>
              <w:spacing w:before="0" w:beforeAutospacing="0" w:after="0" w:afterAutospacing="0"/>
              <w:ind w:left="270" w:hanging="155"/>
              <w:rPr>
                <w:rFonts w:ascii="Arial" w:hAnsi="Arial" w:cs="Arial"/>
                <w:b/>
                <w:bCs/>
                <w:color w:val="0075C9"/>
                <w:sz w:val="17"/>
                <w:szCs w:val="17"/>
              </w:rPr>
            </w:pPr>
            <w:r>
              <w:rPr>
                <w:rFonts w:ascii="Arial" w:hAnsi="Arial" w:cs="Arial"/>
                <w:b/>
                <w:bCs/>
                <w:color w:val="0075C9"/>
                <w:sz w:val="17"/>
                <w:szCs w:val="17"/>
              </w:rPr>
              <w:t> </w:t>
            </w:r>
            <w:r>
              <w:rPr>
                <w:rFonts w:ascii="Arial" w:hAnsi="Arial" w:cs="Arial"/>
                <w:b/>
                <w:bCs/>
                <w:color w:val="0075C9"/>
                <w:sz w:val="17"/>
                <w:szCs w:val="17"/>
              </w:rPr>
              <w:t>Windows 10/11 Monthly Active Devices Growth</w:t>
            </w:r>
          </w:p>
        </w:tc>
        <w:tc>
          <w:tcPr>
            <w:tcW w:w="1144" w:type="dxa"/>
            <w:tcBorders>
              <w:bottom w:val="single" w:sz="6" w:space="0" w:color="0075C9"/>
            </w:tcBorders>
            <w:noWrap/>
            <w:tcMar>
              <w:top w:w="0" w:type="dxa"/>
              <w:left w:w="144" w:type="dxa"/>
              <w:bottom w:w="0" w:type="dxa"/>
              <w:right w:w="0" w:type="dxa"/>
            </w:tcMar>
            <w:hideMark/>
          </w:tcPr>
          <w:p w14:paraId="0C9287AD" w14:textId="34B6ADE0" w:rsidR="007C020B" w:rsidRPr="007C020B" w:rsidRDefault="007C020B" w:rsidP="007C020B">
            <w:pPr>
              <w:rPr>
                <w:rFonts w:ascii="Arial" w:hAnsi="Arial" w:cs="Arial"/>
                <w:color w:val="FFFFFF" w:themeColor="background1"/>
                <w:sz w:val="17"/>
                <w:szCs w:val="17"/>
              </w:rPr>
            </w:pPr>
            <w:r w:rsidRPr="007C020B">
              <w:rPr>
                <w:rFonts w:ascii="Arial" w:hAnsi="Arial" w:cs="Arial"/>
                <w:color w:val="FFFFFF" w:themeColor="background1"/>
                <w:sz w:val="17"/>
                <w:szCs w:val="17"/>
              </w:rPr>
              <w:t>NA</w:t>
            </w:r>
          </w:p>
        </w:tc>
        <w:tc>
          <w:tcPr>
            <w:tcW w:w="1144" w:type="dxa"/>
            <w:tcBorders>
              <w:bottom w:val="single" w:sz="6" w:space="0" w:color="0075C9"/>
            </w:tcBorders>
            <w:noWrap/>
            <w:tcMar>
              <w:top w:w="0" w:type="dxa"/>
              <w:left w:w="144" w:type="dxa"/>
              <w:bottom w:w="0" w:type="dxa"/>
              <w:right w:w="0" w:type="dxa"/>
            </w:tcMar>
            <w:hideMark/>
          </w:tcPr>
          <w:p w14:paraId="6C6BA840" w14:textId="77777777" w:rsidR="007C020B" w:rsidRPr="00306F7C" w:rsidRDefault="007C020B" w:rsidP="007C020B">
            <w:pPr>
              <w:pStyle w:val="NormalWeb"/>
              <w:tabs>
                <w:tab w:val="right" w:pos="960"/>
                <w:tab w:val="decimal" w:pos="1000"/>
              </w:tabs>
              <w:spacing w:before="0" w:beforeAutospacing="0" w:after="20" w:afterAutospacing="0"/>
              <w:rPr>
                <w:rFonts w:ascii="Arial" w:hAnsi="Arial" w:cs="Arial"/>
                <w:sz w:val="17"/>
                <w:szCs w:val="17"/>
              </w:rPr>
            </w:pPr>
            <w:r>
              <w:rPr>
                <w:rFonts w:ascii="Arial" w:hAnsi="Arial" w:cs="Arial"/>
                <w:sz w:val="17"/>
                <w:szCs w:val="17"/>
              </w:rPr>
              <w:tab/>
              <w:t>10%</w:t>
            </w:r>
            <w:r>
              <w:rPr>
                <w:rFonts w:ascii="Arial" w:hAnsi="Arial" w:cs="Arial"/>
                <w:sz w:val="17"/>
                <w:szCs w:val="17"/>
              </w:rPr>
              <w:tab/>
            </w:r>
          </w:p>
        </w:tc>
        <w:tc>
          <w:tcPr>
            <w:tcW w:w="1104" w:type="dxa"/>
            <w:tcBorders>
              <w:bottom w:val="single" w:sz="6" w:space="0" w:color="0075C9"/>
            </w:tcBorders>
            <w:noWrap/>
            <w:tcMar>
              <w:top w:w="0" w:type="dxa"/>
              <w:left w:w="144" w:type="dxa"/>
              <w:bottom w:w="0" w:type="dxa"/>
              <w:right w:w="0" w:type="dxa"/>
            </w:tcMar>
            <w:hideMark/>
          </w:tcPr>
          <w:p w14:paraId="79228620" w14:textId="77777777" w:rsidR="007C020B" w:rsidRDefault="007C020B" w:rsidP="007C020B">
            <w:pPr>
              <w:pStyle w:val="NormalWeb"/>
              <w:tabs>
                <w:tab w:val="right" w:pos="920"/>
                <w:tab w:val="decimal" w:pos="960"/>
              </w:tabs>
              <w:spacing w:before="0" w:beforeAutospacing="0" w:after="20" w:afterAutospacing="0"/>
              <w:rPr>
                <w:rFonts w:ascii="Arial" w:hAnsi="Arial" w:cs="Arial"/>
                <w:sz w:val="17"/>
                <w:szCs w:val="17"/>
              </w:rPr>
            </w:pPr>
            <w:r>
              <w:rPr>
                <w:rFonts w:ascii="Arial" w:hAnsi="Arial" w:cs="Arial"/>
                <w:sz w:val="17"/>
                <w:szCs w:val="17"/>
              </w:rPr>
              <w:tab/>
              <w:t>-4.90%</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3C80629A" w14:textId="77777777" w:rsidR="007C020B" w:rsidRDefault="007C020B" w:rsidP="007C020B">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5.67%</w:t>
            </w:r>
            <w:r>
              <w:rPr>
                <w:rFonts w:ascii="Arial" w:hAnsi="Arial" w:cs="Arial"/>
                <w:sz w:val="17"/>
                <w:szCs w:val="17"/>
              </w:rPr>
              <w:tab/>
            </w:r>
          </w:p>
        </w:tc>
        <w:tc>
          <w:tcPr>
            <w:tcW w:w="1124" w:type="dxa"/>
            <w:tcBorders>
              <w:bottom w:val="single" w:sz="6" w:space="0" w:color="0075C9"/>
            </w:tcBorders>
            <w:noWrap/>
            <w:tcMar>
              <w:top w:w="0" w:type="dxa"/>
              <w:left w:w="144" w:type="dxa"/>
              <w:bottom w:w="0" w:type="dxa"/>
              <w:right w:w="0" w:type="dxa"/>
            </w:tcMar>
            <w:hideMark/>
          </w:tcPr>
          <w:p w14:paraId="245373DB" w14:textId="77777777" w:rsidR="007C020B" w:rsidRDefault="007C020B" w:rsidP="007C020B">
            <w:pPr>
              <w:pStyle w:val="NormalWeb"/>
              <w:tabs>
                <w:tab w:val="right" w:pos="940"/>
                <w:tab w:val="decimal" w:pos="980"/>
              </w:tabs>
              <w:spacing w:before="0" w:beforeAutospacing="0" w:after="20" w:afterAutospacing="0"/>
              <w:rPr>
                <w:rFonts w:ascii="Arial" w:hAnsi="Arial" w:cs="Arial"/>
                <w:sz w:val="17"/>
                <w:szCs w:val="17"/>
              </w:rPr>
            </w:pPr>
            <w:r>
              <w:rPr>
                <w:rFonts w:ascii="Arial" w:hAnsi="Arial" w:cs="Arial"/>
                <w:sz w:val="17"/>
                <w:szCs w:val="17"/>
              </w:rPr>
              <w:tab/>
              <w:t>12.01%</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30905E18" w14:textId="77777777" w:rsidR="007C020B" w:rsidRDefault="007C020B" w:rsidP="007C020B">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5.51%</w:t>
            </w:r>
            <w:r>
              <w:rPr>
                <w:rFonts w:ascii="Arial" w:hAnsi="Arial" w:cs="Arial"/>
                <w:sz w:val="17"/>
                <w:szCs w:val="17"/>
              </w:rPr>
              <w:tab/>
            </w:r>
          </w:p>
        </w:tc>
        <w:tc>
          <w:tcPr>
            <w:tcW w:w="1044" w:type="dxa"/>
            <w:tcBorders>
              <w:bottom w:val="single" w:sz="6" w:space="0" w:color="0075C9"/>
            </w:tcBorders>
            <w:noWrap/>
            <w:tcMar>
              <w:top w:w="0" w:type="dxa"/>
              <w:left w:w="144" w:type="dxa"/>
              <w:bottom w:w="0" w:type="dxa"/>
              <w:right w:w="0" w:type="dxa"/>
            </w:tcMar>
            <w:hideMark/>
          </w:tcPr>
          <w:p w14:paraId="2D7687C6" w14:textId="77777777" w:rsidR="007C020B" w:rsidRDefault="007C020B" w:rsidP="007C020B">
            <w:pPr>
              <w:pStyle w:val="NormalWeb"/>
              <w:tabs>
                <w:tab w:val="right" w:pos="860"/>
                <w:tab w:val="decimal" w:pos="900"/>
              </w:tabs>
              <w:spacing w:before="0" w:beforeAutospacing="0" w:after="20" w:afterAutospacing="0"/>
              <w:rPr>
                <w:rFonts w:ascii="Arial" w:hAnsi="Arial" w:cs="Arial"/>
                <w:sz w:val="17"/>
                <w:szCs w:val="17"/>
              </w:rPr>
            </w:pPr>
            <w:r>
              <w:rPr>
                <w:rFonts w:ascii="Arial" w:hAnsi="Arial" w:cs="Arial"/>
                <w:sz w:val="17"/>
                <w:szCs w:val="17"/>
              </w:rPr>
              <w:tab/>
              <w:t>99.24%</w:t>
            </w:r>
            <w:r>
              <w:rPr>
                <w:rFonts w:ascii="Arial" w:hAnsi="Arial" w:cs="Arial"/>
                <w:sz w:val="17"/>
                <w:szCs w:val="17"/>
              </w:rPr>
              <w:tab/>
            </w:r>
          </w:p>
        </w:tc>
      </w:tr>
      <w:tr w:rsidR="007C020B" w14:paraId="5BA59DF8" w14:textId="77777777" w:rsidTr="0094096C">
        <w:trPr>
          <w:cantSplit/>
        </w:trPr>
        <w:tc>
          <w:tcPr>
            <w:tcW w:w="3352" w:type="dxa"/>
            <w:tcBorders>
              <w:bottom w:val="single" w:sz="8" w:space="0" w:color="0075C9"/>
            </w:tcBorders>
            <w:tcMar>
              <w:top w:w="0" w:type="dxa"/>
              <w:left w:w="0" w:type="dxa"/>
              <w:bottom w:w="20" w:type="dxa"/>
              <w:right w:w="0" w:type="dxa"/>
            </w:tcMar>
            <w:vAlign w:val="center"/>
            <w:hideMark/>
          </w:tcPr>
          <w:p w14:paraId="3F58764F" w14:textId="77777777" w:rsidR="007C020B" w:rsidRPr="00306F7C" w:rsidRDefault="007C020B" w:rsidP="007C020B">
            <w:pPr>
              <w:pStyle w:val="NormalWeb"/>
              <w:spacing w:before="0" w:beforeAutospacing="0" w:after="0" w:afterAutospacing="0"/>
              <w:ind w:left="113"/>
              <w:rPr>
                <w:rFonts w:ascii="Arial" w:hAnsi="Arial" w:cs="Arial"/>
                <w:sz w:val="17"/>
                <w:szCs w:val="17"/>
              </w:rPr>
            </w:pPr>
            <w:r>
              <w:rPr>
                <w:rFonts w:ascii="Arial" w:hAnsi="Arial" w:cs="Arial"/>
                <w:b/>
                <w:bCs/>
                <w:color w:val="0075C9"/>
                <w:sz w:val="17"/>
                <w:szCs w:val="17"/>
              </w:rPr>
              <w:t> </w:t>
            </w:r>
            <w:r>
              <w:rPr>
                <w:rFonts w:ascii="Arial" w:hAnsi="Arial" w:cs="Arial"/>
                <w:b/>
                <w:bCs/>
                <w:color w:val="0075C9"/>
                <w:sz w:val="17"/>
                <w:szCs w:val="17"/>
              </w:rPr>
              <w:t>LinkedIn Sessions</w:t>
            </w:r>
          </w:p>
        </w:tc>
        <w:tc>
          <w:tcPr>
            <w:tcW w:w="1144" w:type="dxa"/>
            <w:tcBorders>
              <w:bottom w:val="single" w:sz="8" w:space="0" w:color="0075C9"/>
            </w:tcBorders>
            <w:tcMar>
              <w:top w:w="0" w:type="dxa"/>
              <w:left w:w="144" w:type="dxa"/>
              <w:bottom w:w="0" w:type="dxa"/>
              <w:right w:w="0" w:type="dxa"/>
            </w:tcMar>
            <w:hideMark/>
          </w:tcPr>
          <w:p w14:paraId="318FE408" w14:textId="2F6B8CA6" w:rsidR="007C020B" w:rsidRPr="007C020B" w:rsidRDefault="007C020B" w:rsidP="007C020B">
            <w:pPr>
              <w:pStyle w:val="NormalWeb"/>
              <w:spacing w:before="0" w:beforeAutospacing="0" w:after="0" w:afterAutospacing="0"/>
              <w:rPr>
                <w:rFonts w:ascii="Arial" w:hAnsi="Arial" w:cs="Arial"/>
                <w:color w:val="FFFFFF" w:themeColor="background1"/>
                <w:sz w:val="4"/>
                <w:szCs w:val="4"/>
              </w:rPr>
            </w:pPr>
            <w:r w:rsidRPr="007C020B">
              <w:rPr>
                <w:rFonts w:ascii="Arial" w:hAnsi="Arial" w:cs="Arial"/>
                <w:color w:val="FFFFFF" w:themeColor="background1"/>
                <w:sz w:val="17"/>
                <w:szCs w:val="17"/>
              </w:rPr>
              <w:t>NA</w:t>
            </w:r>
          </w:p>
        </w:tc>
        <w:tc>
          <w:tcPr>
            <w:tcW w:w="1144" w:type="dxa"/>
            <w:tcBorders>
              <w:bottom w:val="single" w:sz="8" w:space="0" w:color="0075C9"/>
            </w:tcBorders>
            <w:noWrap/>
            <w:tcMar>
              <w:top w:w="0" w:type="dxa"/>
              <w:left w:w="144" w:type="dxa"/>
              <w:bottom w:w="0" w:type="dxa"/>
              <w:right w:w="0" w:type="dxa"/>
            </w:tcMar>
            <w:hideMark/>
          </w:tcPr>
          <w:p w14:paraId="782BD940" w14:textId="77777777" w:rsidR="007C020B" w:rsidRDefault="007C020B" w:rsidP="007C020B">
            <w:pPr>
              <w:pStyle w:val="NormalWeb"/>
              <w:tabs>
                <w:tab w:val="right" w:pos="960"/>
                <w:tab w:val="decimal" w:pos="1000"/>
              </w:tabs>
              <w:spacing w:before="0" w:beforeAutospacing="0" w:after="20" w:afterAutospacing="0"/>
              <w:rPr>
                <w:rFonts w:ascii="Arial" w:hAnsi="Arial" w:cs="Arial"/>
                <w:sz w:val="17"/>
                <w:szCs w:val="17"/>
              </w:rPr>
            </w:pPr>
            <w:r>
              <w:rPr>
                <w:rFonts w:ascii="Arial" w:hAnsi="Arial" w:cs="Arial"/>
                <w:sz w:val="17"/>
                <w:szCs w:val="17"/>
              </w:rPr>
              <w:tab/>
              <w:t>10%</w:t>
            </w:r>
            <w:r>
              <w:rPr>
                <w:rFonts w:ascii="Arial" w:hAnsi="Arial" w:cs="Arial"/>
                <w:sz w:val="17"/>
                <w:szCs w:val="17"/>
              </w:rPr>
              <w:tab/>
            </w:r>
          </w:p>
        </w:tc>
        <w:tc>
          <w:tcPr>
            <w:tcW w:w="1104" w:type="dxa"/>
            <w:tcBorders>
              <w:bottom w:val="single" w:sz="8" w:space="0" w:color="0075C9"/>
            </w:tcBorders>
            <w:noWrap/>
            <w:tcMar>
              <w:top w:w="0" w:type="dxa"/>
              <w:left w:w="144" w:type="dxa"/>
              <w:bottom w:w="0" w:type="dxa"/>
              <w:right w:w="0" w:type="dxa"/>
            </w:tcMar>
            <w:hideMark/>
          </w:tcPr>
          <w:p w14:paraId="453A5DFE" w14:textId="77777777" w:rsidR="007C020B" w:rsidRDefault="007C020B" w:rsidP="007C020B">
            <w:pPr>
              <w:pStyle w:val="NormalWeb"/>
              <w:tabs>
                <w:tab w:val="right" w:pos="920"/>
                <w:tab w:val="decimal" w:pos="960"/>
              </w:tabs>
              <w:spacing w:before="0" w:beforeAutospacing="0" w:after="20" w:afterAutospacing="0"/>
              <w:rPr>
                <w:rFonts w:ascii="Arial" w:hAnsi="Arial" w:cs="Arial"/>
                <w:sz w:val="17"/>
                <w:szCs w:val="17"/>
              </w:rPr>
            </w:pPr>
            <w:r>
              <w:rPr>
                <w:rFonts w:ascii="Arial" w:hAnsi="Arial" w:cs="Arial"/>
                <w:sz w:val="17"/>
                <w:szCs w:val="17"/>
              </w:rPr>
              <w:tab/>
              <w:t>68.59</w:t>
            </w:r>
            <w:r>
              <w:rPr>
                <w:rFonts w:ascii="Arial" w:hAnsi="Arial" w:cs="Arial"/>
                <w:sz w:val="17"/>
                <w:szCs w:val="17"/>
              </w:rPr>
              <w:tab/>
            </w:r>
          </w:p>
        </w:tc>
        <w:tc>
          <w:tcPr>
            <w:tcW w:w="944" w:type="dxa"/>
            <w:tcBorders>
              <w:bottom w:val="single" w:sz="8" w:space="0" w:color="0075C9"/>
            </w:tcBorders>
            <w:noWrap/>
            <w:tcMar>
              <w:top w:w="0" w:type="dxa"/>
              <w:left w:w="144" w:type="dxa"/>
              <w:bottom w:w="0" w:type="dxa"/>
              <w:right w:w="0" w:type="dxa"/>
            </w:tcMar>
            <w:hideMark/>
          </w:tcPr>
          <w:p w14:paraId="6B34A8EB" w14:textId="77777777" w:rsidR="007C020B" w:rsidRDefault="007C020B" w:rsidP="007C020B">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73.75</w:t>
            </w:r>
            <w:r>
              <w:rPr>
                <w:rFonts w:ascii="Arial" w:hAnsi="Arial" w:cs="Arial"/>
                <w:sz w:val="17"/>
                <w:szCs w:val="17"/>
              </w:rPr>
              <w:tab/>
            </w:r>
          </w:p>
        </w:tc>
        <w:tc>
          <w:tcPr>
            <w:tcW w:w="1124" w:type="dxa"/>
            <w:tcBorders>
              <w:bottom w:val="single" w:sz="8" w:space="0" w:color="0075C9"/>
            </w:tcBorders>
            <w:noWrap/>
            <w:tcMar>
              <w:top w:w="0" w:type="dxa"/>
              <w:left w:w="144" w:type="dxa"/>
              <w:bottom w:w="0" w:type="dxa"/>
              <w:right w:w="0" w:type="dxa"/>
            </w:tcMar>
            <w:hideMark/>
          </w:tcPr>
          <w:p w14:paraId="5E4142CB" w14:textId="77777777" w:rsidR="007C020B" w:rsidRDefault="007C020B" w:rsidP="007C020B">
            <w:pPr>
              <w:pStyle w:val="NormalWeb"/>
              <w:tabs>
                <w:tab w:val="right" w:pos="940"/>
                <w:tab w:val="decimal" w:pos="980"/>
              </w:tabs>
              <w:spacing w:before="0" w:beforeAutospacing="0" w:after="20" w:afterAutospacing="0"/>
              <w:rPr>
                <w:rFonts w:ascii="Arial" w:hAnsi="Arial" w:cs="Arial"/>
                <w:sz w:val="17"/>
                <w:szCs w:val="17"/>
              </w:rPr>
            </w:pPr>
            <w:r>
              <w:rPr>
                <w:rFonts w:ascii="Arial" w:hAnsi="Arial" w:cs="Arial"/>
                <w:sz w:val="17"/>
                <w:szCs w:val="17"/>
              </w:rPr>
              <w:tab/>
              <w:t>78.91</w:t>
            </w:r>
            <w:r>
              <w:rPr>
                <w:rFonts w:ascii="Arial" w:hAnsi="Arial" w:cs="Arial"/>
                <w:sz w:val="17"/>
                <w:szCs w:val="17"/>
              </w:rPr>
              <w:tab/>
            </w:r>
          </w:p>
        </w:tc>
        <w:tc>
          <w:tcPr>
            <w:tcW w:w="944" w:type="dxa"/>
            <w:tcBorders>
              <w:bottom w:val="single" w:sz="8" w:space="0" w:color="0075C9"/>
            </w:tcBorders>
            <w:noWrap/>
            <w:tcMar>
              <w:top w:w="0" w:type="dxa"/>
              <w:left w:w="144" w:type="dxa"/>
              <w:bottom w:w="0" w:type="dxa"/>
              <w:right w:w="0" w:type="dxa"/>
            </w:tcMar>
            <w:hideMark/>
          </w:tcPr>
          <w:p w14:paraId="08AC56AB" w14:textId="77777777" w:rsidR="007C020B" w:rsidRDefault="007C020B" w:rsidP="007C020B">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75.05</w:t>
            </w:r>
            <w:r>
              <w:rPr>
                <w:rFonts w:ascii="Arial" w:hAnsi="Arial" w:cs="Arial"/>
                <w:sz w:val="17"/>
                <w:szCs w:val="17"/>
              </w:rPr>
              <w:tab/>
            </w:r>
          </w:p>
        </w:tc>
        <w:tc>
          <w:tcPr>
            <w:tcW w:w="1044" w:type="dxa"/>
            <w:tcBorders>
              <w:bottom w:val="single" w:sz="8" w:space="0" w:color="0075C9"/>
            </w:tcBorders>
            <w:noWrap/>
            <w:tcMar>
              <w:top w:w="0" w:type="dxa"/>
              <w:left w:w="144" w:type="dxa"/>
              <w:bottom w:w="0" w:type="dxa"/>
              <w:right w:w="0" w:type="dxa"/>
            </w:tcMar>
            <w:hideMark/>
          </w:tcPr>
          <w:p w14:paraId="56858755" w14:textId="77777777" w:rsidR="007C020B" w:rsidRDefault="007C020B" w:rsidP="007C020B">
            <w:pPr>
              <w:pStyle w:val="NormalWeb"/>
              <w:tabs>
                <w:tab w:val="right" w:pos="860"/>
                <w:tab w:val="decimal" w:pos="900"/>
              </w:tabs>
              <w:spacing w:before="0" w:beforeAutospacing="0" w:after="20" w:afterAutospacing="0"/>
              <w:rPr>
                <w:rFonts w:ascii="Arial" w:hAnsi="Arial" w:cs="Arial"/>
                <w:sz w:val="17"/>
                <w:szCs w:val="17"/>
              </w:rPr>
            </w:pPr>
            <w:r>
              <w:rPr>
                <w:rFonts w:ascii="Arial" w:hAnsi="Arial" w:cs="Arial"/>
                <w:sz w:val="17"/>
                <w:szCs w:val="17"/>
              </w:rPr>
              <w:tab/>
              <w:t>125.19%</w:t>
            </w:r>
            <w:r>
              <w:rPr>
                <w:rFonts w:ascii="Arial" w:hAnsi="Arial" w:cs="Arial"/>
                <w:sz w:val="17"/>
                <w:szCs w:val="17"/>
              </w:rPr>
              <w:tab/>
            </w:r>
          </w:p>
        </w:tc>
      </w:tr>
      <w:tr w:rsidR="00D246A9" w14:paraId="5C5C91EB" w14:textId="77777777" w:rsidTr="0094096C">
        <w:trPr>
          <w:cantSplit/>
        </w:trPr>
        <w:tc>
          <w:tcPr>
            <w:tcW w:w="7688" w:type="dxa"/>
            <w:gridSpan w:val="5"/>
            <w:tcBorders>
              <w:top w:val="single" w:sz="8" w:space="0" w:color="0075C9"/>
              <w:left w:val="single" w:sz="8" w:space="0" w:color="0075C9"/>
              <w:bottom w:val="single" w:sz="8" w:space="0" w:color="0075C9"/>
            </w:tcBorders>
            <w:tcMar>
              <w:top w:w="0" w:type="dxa"/>
              <w:left w:w="160" w:type="dxa"/>
              <w:bottom w:w="40" w:type="dxa"/>
              <w:right w:w="0" w:type="dxa"/>
            </w:tcMar>
            <w:vAlign w:val="bottom"/>
            <w:hideMark/>
          </w:tcPr>
          <w:p w14:paraId="503C1BB2" w14:textId="77777777" w:rsidR="00D246A9" w:rsidRPr="00306F7C" w:rsidRDefault="00D246A9">
            <w:pPr>
              <w:pStyle w:val="NormalWeb"/>
              <w:spacing w:before="0" w:beforeAutospacing="0" w:after="0" w:afterAutospacing="0"/>
              <w:ind w:left="113"/>
              <w:rPr>
                <w:rFonts w:ascii="Arial" w:hAnsi="Arial" w:cs="Arial"/>
                <w:sz w:val="17"/>
                <w:szCs w:val="17"/>
              </w:rPr>
            </w:pPr>
            <w:r>
              <w:rPr>
                <w:rFonts w:ascii="Arial" w:hAnsi="Arial" w:cs="Arial"/>
                <w:b/>
                <w:bCs/>
                <w:sz w:val="17"/>
                <w:szCs w:val="17"/>
              </w:rPr>
              <w:t>FY21 PSA 3-Year Average Payout</w:t>
            </w:r>
          </w:p>
        </w:tc>
        <w:tc>
          <w:tcPr>
            <w:tcW w:w="1124" w:type="dxa"/>
            <w:tcBorders>
              <w:top w:val="single" w:sz="8" w:space="0" w:color="0075C9"/>
              <w:bottom w:val="single" w:sz="8" w:space="0" w:color="0075C9"/>
            </w:tcBorders>
            <w:noWrap/>
            <w:tcMar>
              <w:top w:w="0" w:type="dxa"/>
              <w:left w:w="144" w:type="dxa"/>
              <w:bottom w:w="0" w:type="dxa"/>
              <w:right w:w="0" w:type="dxa"/>
            </w:tcMar>
            <w:vAlign w:val="bottom"/>
            <w:hideMark/>
          </w:tcPr>
          <w:p w14:paraId="2CFF4AB7" w14:textId="77777777" w:rsidR="00D246A9" w:rsidRDefault="00D246A9">
            <w:pPr>
              <w:rPr>
                <w:rFonts w:ascii="Arial" w:hAnsi="Arial" w:cs="Arial"/>
                <w:sz w:val="17"/>
                <w:szCs w:val="17"/>
              </w:rPr>
            </w:pPr>
          </w:p>
        </w:tc>
        <w:tc>
          <w:tcPr>
            <w:tcW w:w="944" w:type="dxa"/>
            <w:tcBorders>
              <w:top w:val="single" w:sz="8" w:space="0" w:color="0075C9"/>
              <w:bottom w:val="single" w:sz="8" w:space="0" w:color="0075C9"/>
            </w:tcBorders>
            <w:noWrap/>
            <w:tcMar>
              <w:top w:w="0" w:type="dxa"/>
              <w:left w:w="144" w:type="dxa"/>
              <w:bottom w:w="0" w:type="dxa"/>
              <w:right w:w="0" w:type="dxa"/>
            </w:tcMar>
            <w:vAlign w:val="bottom"/>
            <w:hideMark/>
          </w:tcPr>
          <w:p w14:paraId="58E21A28" w14:textId="77777777" w:rsidR="00D246A9" w:rsidRDefault="00D246A9">
            <w:pPr>
              <w:rPr>
                <w:sz w:val="20"/>
              </w:rPr>
            </w:pPr>
          </w:p>
        </w:tc>
        <w:tc>
          <w:tcPr>
            <w:tcW w:w="1044" w:type="dxa"/>
            <w:tcBorders>
              <w:top w:val="single" w:sz="8" w:space="0" w:color="0075C9"/>
              <w:bottom w:val="single" w:sz="8" w:space="0" w:color="0075C9"/>
              <w:right w:val="single" w:sz="8" w:space="0" w:color="0075C9"/>
            </w:tcBorders>
            <w:noWrap/>
            <w:tcMar>
              <w:top w:w="0" w:type="dxa"/>
              <w:left w:w="144" w:type="dxa"/>
              <w:bottom w:w="0" w:type="dxa"/>
              <w:right w:w="0" w:type="dxa"/>
            </w:tcMar>
            <w:vAlign w:val="bottom"/>
            <w:hideMark/>
          </w:tcPr>
          <w:p w14:paraId="75125BE7" w14:textId="3D7A31EC" w:rsidR="00D246A9" w:rsidRPr="00306F7C" w:rsidRDefault="00FE0A0A">
            <w:pPr>
              <w:pStyle w:val="NormalWeb"/>
              <w:tabs>
                <w:tab w:val="right" w:pos="860"/>
                <w:tab w:val="decimal" w:pos="900"/>
              </w:tabs>
              <w:spacing w:before="0" w:beforeAutospacing="0" w:after="20" w:afterAutospacing="0"/>
              <w:rPr>
                <w:rFonts w:ascii="Arial" w:hAnsi="Arial" w:cs="Arial"/>
                <w:sz w:val="17"/>
                <w:szCs w:val="17"/>
              </w:rPr>
            </w:pPr>
            <w:r w:rsidRPr="00FE0A0A">
              <w:rPr>
                <w:rFonts w:ascii="Arial" w:hAnsi="Arial" w:cs="Arial"/>
                <w:bCs/>
                <w:sz w:val="17"/>
                <w:szCs w:val="17"/>
              </w:rPr>
              <w:tab/>
            </w:r>
            <w:r w:rsidR="00D246A9">
              <w:rPr>
                <w:rFonts w:ascii="Arial" w:hAnsi="Arial" w:cs="Arial"/>
                <w:b/>
                <w:bCs/>
                <w:sz w:val="17"/>
                <w:szCs w:val="17"/>
              </w:rPr>
              <w:t>113.16%</w:t>
            </w:r>
            <w:r w:rsidRPr="00FE0A0A">
              <w:rPr>
                <w:rFonts w:ascii="Arial" w:hAnsi="Arial" w:cs="Arial"/>
                <w:bCs/>
                <w:sz w:val="17"/>
                <w:szCs w:val="17"/>
              </w:rPr>
              <w:tab/>
            </w:r>
          </w:p>
        </w:tc>
      </w:tr>
    </w:tbl>
    <w:p w14:paraId="6656DEE0"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Fiscal Year 2021 Core Metrics results related to Microsoft Cloud Revenue (weighted at 33%) with a resulting payout of 121.69% for the first half of the fiscal year and 157.07% for the second half of the fiscal year, Microsoft Cloud Subscribers (weighted at 32%) with a resulting payout of 196.54%, Teams Monthly Active Usage (weighted at 20%) with a resulting payout of 81.36%, Xbox Game Pass Subscribers (weighted at 5%) with a resulting payout of 82.28%, Surface Revenue (weighted at 5%) with a resulting payout of 200% for the first half of the fiscal year and 0% for the second half of the fiscal year, and LinkedIn Sessions (weighted at 5%) with a resulting payout of 195.97%. </w:t>
      </w:r>
    </w:p>
    <w:p w14:paraId="2DB136E8" w14:textId="77777777" w:rsidR="00D246A9" w:rsidRDefault="00D246A9">
      <w:pPr>
        <w:pStyle w:val="NormalWeb"/>
        <w:spacing w:before="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Fiscal Year 2022 Core Metric results related to Microsoft Cloud Revenue (weighted at 30%) with a resulting payout of 126.39%, Microsoft Cloud Subscribers Growth (weighted at 20%) with a resulting payout of 68.91%, Teams Monthly Active Usage Growth (weighted at 20%) with a resulting payout of 50.92%, Xbox Game Pass Subscribers (weighted at 10%) with a resulting payout of 56.80%, Windows OEM Revenue Growth (weighted at 10%) with a resulting payout of 191.15%, and LinkedIn Sessions (weighted at 10%) with a resulting payout of 90.66%. </w:t>
      </w:r>
    </w:p>
    <w:p w14:paraId="02941B9B" w14:textId="77777777" w:rsidR="00D246A9" w:rsidRDefault="00D246A9">
      <w:pPr>
        <w:pStyle w:val="NormalWeb"/>
        <w:spacing w:before="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For revenue related metrics dollar values are calculated using constant dollars, which removes the impact of currency fluctuations from period-over-period comparisons. </w:t>
      </w:r>
    </w:p>
    <w:p w14:paraId="06F3BB1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Cloud Revenue (FY23, FY22, and FY22 core Metric), Surface Revenue (FY21 Core Metric), Windows OEM Revenue Growth (FY22 Core Metric) and Xbox Content &amp; Services Revenue Growth (FY23 Core Metric), when used as PSA metrics in this Compensation Discussion and Analysis, are non-GAAP financial measures, calculated by adjusting GAAP results for these metrics (as defined in our Annual Report on Form 10-K for the fiscal year ended June 30, 2023) for the effect of foreign currency rate fluctuations. We exclude the effect of foreign currency rate fluctuations on a “constant dollar” basis by converting current period non-GAAP results for entities reporting in currencies other than U.S. dollars into U.S. dollars using constant exchange rates, which are determined at the outset of the fiscal year, rather than the actual exchange rates in effect during the respective periods. These metric results differ from certain non-GAAP financial results we report in our quarterly earnings release materials; they should not be considered as a substitute for, or superior to, the measures of financial performance prepared in accordance with GAAP. </w:t>
      </w:r>
    </w:p>
    <w:p w14:paraId="4F5C1FAB"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6148"/>
        <w:gridCol w:w="1084"/>
        <w:gridCol w:w="1104"/>
        <w:gridCol w:w="1104"/>
        <w:gridCol w:w="1360"/>
      </w:tblGrid>
      <w:tr w:rsidR="00D246A9" w14:paraId="5E7F5A18" w14:textId="77777777" w:rsidTr="00FE0A0A">
        <w:trPr>
          <w:cantSplit/>
          <w:tblHeader/>
        </w:trPr>
        <w:tc>
          <w:tcPr>
            <w:tcW w:w="6148" w:type="dxa"/>
            <w:tcBorders>
              <w:bottom w:val="single" w:sz="8" w:space="0" w:color="000000"/>
            </w:tcBorders>
            <w:tcMar>
              <w:top w:w="0" w:type="dxa"/>
              <w:left w:w="0" w:type="dxa"/>
              <w:bottom w:w="40" w:type="dxa"/>
              <w:right w:w="0" w:type="dxa"/>
            </w:tcMar>
            <w:vAlign w:val="bottom"/>
            <w:hideMark/>
          </w:tcPr>
          <w:p w14:paraId="0C7FEFCC" w14:textId="77777777" w:rsidR="00D246A9" w:rsidRPr="00306F7C" w:rsidRDefault="00D246A9">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Metric (FY23)</w:t>
            </w:r>
          </w:p>
          <w:p w14:paraId="231F1D9C" w14:textId="77777777" w:rsidR="00D246A9"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 in billions)</w:t>
            </w:r>
          </w:p>
        </w:tc>
        <w:tc>
          <w:tcPr>
            <w:tcW w:w="1084" w:type="dxa"/>
            <w:tcBorders>
              <w:bottom w:val="single" w:sz="8" w:space="0" w:color="000000"/>
            </w:tcBorders>
            <w:tcMar>
              <w:top w:w="0" w:type="dxa"/>
              <w:left w:w="144" w:type="dxa"/>
              <w:bottom w:w="0" w:type="dxa"/>
              <w:right w:w="0" w:type="dxa"/>
            </w:tcMar>
            <w:vAlign w:val="bottom"/>
            <w:hideMark/>
          </w:tcPr>
          <w:p w14:paraId="7BBFA6FF"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FY22</w:t>
            </w:r>
          </w:p>
          <w:p w14:paraId="02768B79"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Actual</w:t>
            </w:r>
            <w:r>
              <w:rPr>
                <w:rFonts w:ascii="Arial" w:hAnsi="Arial" w:cs="Arial"/>
                <w:b/>
                <w:bCs/>
                <w:sz w:val="14"/>
                <w:szCs w:val="14"/>
                <w:vertAlign w:val="superscript"/>
              </w:rPr>
              <w:t>1</w:t>
            </w:r>
          </w:p>
        </w:tc>
        <w:tc>
          <w:tcPr>
            <w:tcW w:w="1104" w:type="dxa"/>
            <w:tcBorders>
              <w:bottom w:val="single" w:sz="8" w:space="0" w:color="000000"/>
            </w:tcBorders>
            <w:tcMar>
              <w:top w:w="0" w:type="dxa"/>
              <w:left w:w="144" w:type="dxa"/>
              <w:bottom w:w="0" w:type="dxa"/>
              <w:right w:w="0" w:type="dxa"/>
            </w:tcMar>
            <w:vAlign w:val="bottom"/>
            <w:hideMark/>
          </w:tcPr>
          <w:p w14:paraId="18D1625F"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FY23</w:t>
            </w:r>
          </w:p>
          <w:p w14:paraId="33B79FF2"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Target</w:t>
            </w:r>
          </w:p>
        </w:tc>
        <w:tc>
          <w:tcPr>
            <w:tcW w:w="1104" w:type="dxa"/>
            <w:tcBorders>
              <w:bottom w:val="single" w:sz="8" w:space="0" w:color="000000"/>
            </w:tcBorders>
            <w:tcMar>
              <w:top w:w="0" w:type="dxa"/>
              <w:left w:w="144" w:type="dxa"/>
              <w:bottom w:w="0" w:type="dxa"/>
              <w:right w:w="0" w:type="dxa"/>
            </w:tcMar>
            <w:vAlign w:val="bottom"/>
            <w:hideMark/>
          </w:tcPr>
          <w:p w14:paraId="267FD1B2"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FY23</w:t>
            </w:r>
          </w:p>
          <w:p w14:paraId="109C57C8"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Actual</w:t>
            </w:r>
          </w:p>
        </w:tc>
        <w:tc>
          <w:tcPr>
            <w:tcW w:w="1360" w:type="dxa"/>
            <w:tcBorders>
              <w:bottom w:val="single" w:sz="8" w:space="0" w:color="000000"/>
            </w:tcBorders>
            <w:tcMar>
              <w:top w:w="0" w:type="dxa"/>
              <w:left w:w="144" w:type="dxa"/>
              <w:bottom w:w="0" w:type="dxa"/>
              <w:right w:w="0" w:type="dxa"/>
            </w:tcMar>
            <w:vAlign w:val="bottom"/>
            <w:hideMark/>
          </w:tcPr>
          <w:p w14:paraId="58E05D62"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FY23</w:t>
            </w:r>
          </w:p>
          <w:p w14:paraId="326B6E9D"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Growth Rate</w:t>
            </w:r>
          </w:p>
        </w:tc>
      </w:tr>
      <w:tr w:rsidR="00D246A9" w14:paraId="411E7F2A" w14:textId="77777777" w:rsidTr="00FE0A0A">
        <w:trPr>
          <w:cantSplit/>
        </w:trPr>
        <w:tc>
          <w:tcPr>
            <w:tcW w:w="6148" w:type="dxa"/>
            <w:tcBorders>
              <w:bottom w:val="single" w:sz="6" w:space="0" w:color="0075C9"/>
            </w:tcBorders>
            <w:tcMar>
              <w:top w:w="0" w:type="dxa"/>
              <w:left w:w="0" w:type="dxa"/>
              <w:bottom w:w="40" w:type="dxa"/>
              <w:right w:w="0" w:type="dxa"/>
            </w:tcMar>
            <w:hideMark/>
          </w:tcPr>
          <w:p w14:paraId="51D6596B"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FY23 Microsoft Cloud Revenue</w:t>
            </w:r>
          </w:p>
        </w:tc>
        <w:tc>
          <w:tcPr>
            <w:tcW w:w="1084" w:type="dxa"/>
            <w:tcBorders>
              <w:bottom w:val="single" w:sz="6" w:space="0" w:color="0075C9"/>
            </w:tcBorders>
            <w:noWrap/>
            <w:tcMar>
              <w:top w:w="0" w:type="dxa"/>
              <w:left w:w="144" w:type="dxa"/>
              <w:bottom w:w="0" w:type="dxa"/>
              <w:right w:w="0" w:type="dxa"/>
            </w:tcMar>
            <w:vAlign w:val="bottom"/>
            <w:hideMark/>
          </w:tcPr>
          <w:p w14:paraId="27314A5E"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$89.27</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vAlign w:val="bottom"/>
            <w:hideMark/>
          </w:tcPr>
          <w:p w14:paraId="28FED297" w14:textId="77777777" w:rsidR="00D246A9" w:rsidRDefault="00D246A9">
            <w:pPr>
              <w:pStyle w:val="NormalWeb"/>
              <w:tabs>
                <w:tab w:val="right" w:pos="920"/>
                <w:tab w:val="decimal" w:pos="960"/>
              </w:tabs>
              <w:spacing w:before="0" w:beforeAutospacing="0" w:after="20" w:afterAutospacing="0"/>
              <w:rPr>
                <w:rFonts w:ascii="Arial" w:hAnsi="Arial" w:cs="Arial"/>
                <w:sz w:val="18"/>
                <w:szCs w:val="18"/>
              </w:rPr>
            </w:pPr>
            <w:r>
              <w:rPr>
                <w:rFonts w:ascii="Arial" w:hAnsi="Arial" w:cs="Arial"/>
                <w:sz w:val="18"/>
                <w:szCs w:val="18"/>
              </w:rPr>
              <w:tab/>
              <w:t>$116.51</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vAlign w:val="bottom"/>
            <w:hideMark/>
          </w:tcPr>
          <w:p w14:paraId="52E1A78C" w14:textId="77777777" w:rsidR="00D246A9" w:rsidRDefault="00D246A9">
            <w:pPr>
              <w:pStyle w:val="NormalWeb"/>
              <w:tabs>
                <w:tab w:val="right" w:pos="920"/>
                <w:tab w:val="decimal" w:pos="960"/>
              </w:tabs>
              <w:spacing w:before="0" w:beforeAutospacing="0" w:after="20" w:afterAutospacing="0"/>
              <w:rPr>
                <w:rFonts w:ascii="Arial" w:hAnsi="Arial" w:cs="Arial"/>
                <w:sz w:val="18"/>
                <w:szCs w:val="18"/>
              </w:rPr>
            </w:pPr>
            <w:r>
              <w:rPr>
                <w:rFonts w:ascii="Arial" w:hAnsi="Arial" w:cs="Arial"/>
                <w:sz w:val="18"/>
                <w:szCs w:val="18"/>
              </w:rPr>
              <w:tab/>
              <w:t>$113.26</w:t>
            </w:r>
            <w:r>
              <w:rPr>
                <w:rFonts w:ascii="Arial" w:hAnsi="Arial" w:cs="Arial"/>
                <w:sz w:val="18"/>
                <w:szCs w:val="18"/>
              </w:rPr>
              <w:tab/>
            </w:r>
          </w:p>
        </w:tc>
        <w:tc>
          <w:tcPr>
            <w:tcW w:w="1360" w:type="dxa"/>
            <w:tcBorders>
              <w:bottom w:val="single" w:sz="6" w:space="0" w:color="0075C9"/>
            </w:tcBorders>
            <w:tcMar>
              <w:top w:w="0" w:type="dxa"/>
              <w:left w:w="0" w:type="dxa"/>
              <w:bottom w:w="40" w:type="dxa"/>
              <w:right w:w="0" w:type="dxa"/>
            </w:tcMar>
            <w:vAlign w:val="bottom"/>
            <w:hideMark/>
          </w:tcPr>
          <w:p w14:paraId="35E584A5" w14:textId="77777777" w:rsidR="00D246A9" w:rsidRDefault="00D246A9">
            <w:pPr>
              <w:pStyle w:val="NormalWeb"/>
              <w:tabs>
                <w:tab w:val="right" w:pos="1360"/>
                <w:tab w:val="decimal" w:pos="1400"/>
              </w:tabs>
              <w:spacing w:before="0" w:beforeAutospacing="0" w:after="20" w:afterAutospacing="0"/>
              <w:jc w:val="right"/>
              <w:rPr>
                <w:rFonts w:ascii="Arial" w:hAnsi="Arial" w:cs="Arial"/>
                <w:sz w:val="18"/>
                <w:szCs w:val="18"/>
              </w:rPr>
            </w:pPr>
            <w:r>
              <w:rPr>
                <w:rFonts w:ascii="Arial" w:hAnsi="Arial" w:cs="Arial"/>
                <w:sz w:val="18"/>
                <w:szCs w:val="18"/>
              </w:rPr>
              <w:tab/>
              <w:t>26.9%</w:t>
            </w:r>
            <w:r>
              <w:rPr>
                <w:rFonts w:ascii="Arial" w:hAnsi="Arial" w:cs="Arial"/>
                <w:sz w:val="18"/>
                <w:szCs w:val="18"/>
              </w:rPr>
              <w:tab/>
            </w:r>
          </w:p>
        </w:tc>
      </w:tr>
    </w:tbl>
    <w:p w14:paraId="4A014433"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FY22 actual results are presented in FY23 constant dollar exchange rates, which removes the impact of currency fluctuations from period-over-period comparisons. </w:t>
      </w:r>
    </w:p>
    <w:p w14:paraId="2DA23F7B" w14:textId="77777777" w:rsidR="00D246A9" w:rsidRDefault="00D246A9" w:rsidP="008E18EB">
      <w:pPr>
        <w:pStyle w:val="Heading4"/>
      </w:pPr>
      <w:r>
        <w:t xml:space="preserve">Relative TSR Modifier </w:t>
      </w:r>
    </w:p>
    <w:p w14:paraId="446A1B3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The core metric results for the fiscal year 2021 PSAs were then subject to adjustment based on the relative TSR performance modifier, which compares our TSR for the three-fiscal year performance period to the TSR of the S&amp;P 500. Our absolute TSR for the performance period satisfied the PSA payout requirement that TSR be positive. Our TSR relative to the S&amp;P 500 was at the 72</w:t>
      </w:r>
      <w:r>
        <w:rPr>
          <w:rFonts w:ascii="Arial" w:hAnsi="Arial" w:cs="Arial"/>
          <w:sz w:val="14"/>
          <w:szCs w:val="14"/>
          <w:vertAlign w:val="superscript"/>
        </w:rPr>
        <w:t>nd</w:t>
      </w:r>
      <w:r>
        <w:rPr>
          <w:rFonts w:ascii="Arial" w:hAnsi="Arial" w:cs="Arial"/>
          <w:sz w:val="18"/>
          <w:szCs w:val="18"/>
        </w:rPr>
        <w:t xml:space="preserve"> percentile of the S&amp;P 500, below the 80th percentile performance that is a condition to receiving the maximum 150% multiplier. </w:t>
      </w:r>
    </w:p>
    <w:p w14:paraId="35A1E18C"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688"/>
        <w:gridCol w:w="2664"/>
        <w:gridCol w:w="2604"/>
        <w:gridCol w:w="1844"/>
      </w:tblGrid>
      <w:tr w:rsidR="00D246A9" w14:paraId="366E5175" w14:textId="77777777" w:rsidTr="00FE0A0A">
        <w:trPr>
          <w:cantSplit/>
          <w:tblHeader/>
        </w:trPr>
        <w:tc>
          <w:tcPr>
            <w:tcW w:w="3688" w:type="dxa"/>
            <w:tcBorders>
              <w:bottom w:val="single" w:sz="8" w:space="0" w:color="000000"/>
            </w:tcBorders>
            <w:tcMar>
              <w:top w:w="0" w:type="dxa"/>
              <w:left w:w="0" w:type="dxa"/>
              <w:bottom w:w="40" w:type="dxa"/>
              <w:right w:w="0" w:type="dxa"/>
            </w:tcMar>
            <w:vAlign w:val="bottom"/>
            <w:hideMark/>
          </w:tcPr>
          <w:p w14:paraId="7601420D"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Peer Group Index</w:t>
            </w:r>
          </w:p>
        </w:tc>
        <w:tc>
          <w:tcPr>
            <w:tcW w:w="2664" w:type="dxa"/>
            <w:tcBorders>
              <w:bottom w:val="single" w:sz="8" w:space="0" w:color="000000"/>
            </w:tcBorders>
            <w:tcMar>
              <w:top w:w="0" w:type="dxa"/>
              <w:left w:w="144" w:type="dxa"/>
              <w:bottom w:w="0" w:type="dxa"/>
              <w:right w:w="0" w:type="dxa"/>
            </w:tcMar>
            <w:vAlign w:val="bottom"/>
            <w:hideMark/>
          </w:tcPr>
          <w:p w14:paraId="294FD3FA" w14:textId="77777777" w:rsidR="00D246A9" w:rsidRDefault="00D246A9">
            <w:pPr>
              <w:jc w:val="right"/>
              <w:rPr>
                <w:rFonts w:ascii="Arial" w:hAnsi="Arial" w:cs="Arial"/>
                <w:sz w:val="18"/>
                <w:szCs w:val="18"/>
              </w:rPr>
            </w:pPr>
            <w:r>
              <w:rPr>
                <w:rFonts w:ascii="Arial" w:hAnsi="Arial" w:cs="Arial"/>
                <w:b/>
                <w:bCs/>
                <w:sz w:val="18"/>
                <w:szCs w:val="18"/>
              </w:rPr>
              <w:t>FY21 PSA</w:t>
            </w:r>
            <w:r>
              <w:rPr>
                <w:rFonts w:ascii="Arial" w:hAnsi="Arial" w:cs="Arial"/>
                <w:b/>
                <w:bCs/>
                <w:sz w:val="18"/>
                <w:szCs w:val="18"/>
              </w:rPr>
              <w:br/>
              <w:t>Performance Period</w:t>
            </w:r>
          </w:p>
        </w:tc>
        <w:tc>
          <w:tcPr>
            <w:tcW w:w="2604" w:type="dxa"/>
            <w:tcBorders>
              <w:bottom w:val="single" w:sz="8" w:space="0" w:color="000000"/>
            </w:tcBorders>
            <w:tcMar>
              <w:top w:w="0" w:type="dxa"/>
              <w:left w:w="144" w:type="dxa"/>
              <w:bottom w:w="0" w:type="dxa"/>
              <w:right w:w="0" w:type="dxa"/>
            </w:tcMar>
            <w:vAlign w:val="bottom"/>
            <w:hideMark/>
          </w:tcPr>
          <w:p w14:paraId="7683DCFB" w14:textId="77777777" w:rsidR="00D246A9" w:rsidRPr="00306F7C"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Relative</w:t>
            </w:r>
          </w:p>
          <w:p w14:paraId="3BC18E1B"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Total Shareholder Return</w:t>
            </w:r>
          </w:p>
        </w:tc>
        <w:tc>
          <w:tcPr>
            <w:tcW w:w="1844" w:type="dxa"/>
            <w:tcBorders>
              <w:bottom w:val="single" w:sz="8" w:space="0" w:color="000000"/>
            </w:tcBorders>
            <w:tcMar>
              <w:top w:w="0" w:type="dxa"/>
              <w:left w:w="144" w:type="dxa"/>
              <w:bottom w:w="0" w:type="dxa"/>
              <w:right w:w="0" w:type="dxa"/>
            </w:tcMar>
            <w:vAlign w:val="bottom"/>
            <w:hideMark/>
          </w:tcPr>
          <w:p w14:paraId="0B7584A4" w14:textId="77777777" w:rsidR="00D246A9" w:rsidRDefault="00D246A9">
            <w:pPr>
              <w:jc w:val="right"/>
              <w:rPr>
                <w:rFonts w:ascii="Arial" w:hAnsi="Arial" w:cs="Arial"/>
                <w:sz w:val="18"/>
                <w:szCs w:val="18"/>
              </w:rPr>
            </w:pPr>
            <w:r>
              <w:rPr>
                <w:rFonts w:ascii="Arial" w:hAnsi="Arial" w:cs="Arial"/>
                <w:b/>
                <w:bCs/>
                <w:sz w:val="18"/>
                <w:szCs w:val="18"/>
              </w:rPr>
              <w:t>Modifier Payout</w:t>
            </w:r>
          </w:p>
        </w:tc>
      </w:tr>
      <w:tr w:rsidR="00D246A9" w14:paraId="2D30C26B" w14:textId="77777777" w:rsidTr="00FE0A0A">
        <w:trPr>
          <w:cantSplit/>
        </w:trPr>
        <w:tc>
          <w:tcPr>
            <w:tcW w:w="3688" w:type="dxa"/>
            <w:tcBorders>
              <w:bottom w:val="single" w:sz="6" w:space="0" w:color="0075C9"/>
            </w:tcBorders>
            <w:tcMar>
              <w:top w:w="0" w:type="dxa"/>
              <w:left w:w="0" w:type="dxa"/>
              <w:bottom w:w="40" w:type="dxa"/>
              <w:right w:w="0" w:type="dxa"/>
            </w:tcMar>
            <w:hideMark/>
          </w:tcPr>
          <w:p w14:paraId="24149ACC"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S&amp;P 500</w:t>
            </w:r>
          </w:p>
        </w:tc>
        <w:tc>
          <w:tcPr>
            <w:tcW w:w="2664" w:type="dxa"/>
            <w:tcBorders>
              <w:bottom w:val="single" w:sz="6" w:space="0" w:color="0075C9"/>
            </w:tcBorders>
            <w:noWrap/>
            <w:tcMar>
              <w:top w:w="0" w:type="dxa"/>
              <w:left w:w="144" w:type="dxa"/>
              <w:bottom w:w="0" w:type="dxa"/>
              <w:right w:w="0" w:type="dxa"/>
            </w:tcMar>
            <w:vAlign w:val="bottom"/>
            <w:hideMark/>
          </w:tcPr>
          <w:p w14:paraId="45834F90" w14:textId="361D953B" w:rsidR="00D246A9" w:rsidRDefault="00D246A9">
            <w:pPr>
              <w:pStyle w:val="NormalWeb"/>
              <w:tabs>
                <w:tab w:val="right" w:pos="2480"/>
                <w:tab w:val="decimal" w:pos="2520"/>
              </w:tabs>
              <w:spacing w:before="0" w:beforeAutospacing="0" w:after="20" w:afterAutospacing="0"/>
              <w:rPr>
                <w:rFonts w:ascii="Arial" w:hAnsi="Arial" w:cs="Arial"/>
                <w:sz w:val="18"/>
                <w:szCs w:val="18"/>
              </w:rPr>
            </w:pPr>
            <w:r>
              <w:rPr>
                <w:rFonts w:ascii="Arial" w:hAnsi="Arial" w:cs="Arial"/>
                <w:sz w:val="18"/>
                <w:szCs w:val="18"/>
              </w:rPr>
              <w:tab/>
              <w:t>July 1, 2020 – June 30, 2023</w:t>
            </w:r>
            <w:r>
              <w:rPr>
                <w:rFonts w:ascii="Arial" w:hAnsi="Arial" w:cs="Arial"/>
                <w:sz w:val="18"/>
                <w:szCs w:val="18"/>
              </w:rPr>
              <w:tab/>
            </w:r>
          </w:p>
        </w:tc>
        <w:tc>
          <w:tcPr>
            <w:tcW w:w="2604" w:type="dxa"/>
            <w:tcBorders>
              <w:bottom w:val="single" w:sz="6" w:space="0" w:color="0075C9"/>
            </w:tcBorders>
            <w:noWrap/>
            <w:tcMar>
              <w:top w:w="0" w:type="dxa"/>
              <w:left w:w="144" w:type="dxa"/>
              <w:bottom w:w="0" w:type="dxa"/>
              <w:right w:w="0" w:type="dxa"/>
            </w:tcMar>
            <w:vAlign w:val="bottom"/>
            <w:hideMark/>
          </w:tcPr>
          <w:p w14:paraId="59901DC7" w14:textId="27F2C251" w:rsidR="00D246A9" w:rsidRDefault="00D246A9">
            <w:pPr>
              <w:pStyle w:val="NormalWeb"/>
              <w:tabs>
                <w:tab w:val="right" w:pos="2420"/>
                <w:tab w:val="decimal" w:pos="2460"/>
              </w:tabs>
              <w:spacing w:before="0" w:beforeAutospacing="0" w:after="20" w:afterAutospacing="0"/>
              <w:rPr>
                <w:rFonts w:ascii="Arial" w:hAnsi="Arial" w:cs="Arial"/>
                <w:sz w:val="18"/>
                <w:szCs w:val="18"/>
              </w:rPr>
            </w:pPr>
            <w:r>
              <w:rPr>
                <w:rFonts w:ascii="Arial" w:hAnsi="Arial" w:cs="Arial"/>
                <w:sz w:val="18"/>
                <w:szCs w:val="18"/>
              </w:rPr>
              <w:tab/>
              <w:t>72</w:t>
            </w:r>
            <w:r>
              <w:rPr>
                <w:rFonts w:ascii="Arial" w:hAnsi="Arial" w:cs="Arial"/>
                <w:sz w:val="14"/>
                <w:szCs w:val="14"/>
                <w:vertAlign w:val="superscript"/>
              </w:rPr>
              <w:t>nd</w:t>
            </w:r>
            <w:r>
              <w:rPr>
                <w:rFonts w:ascii="Arial" w:hAnsi="Arial" w:cs="Arial"/>
                <w:sz w:val="18"/>
                <w:szCs w:val="18"/>
              </w:rPr>
              <w:t> percentile</w:t>
            </w:r>
            <w:r>
              <w:rPr>
                <w:rFonts w:ascii="Arial" w:hAnsi="Arial" w:cs="Arial"/>
                <w:sz w:val="18"/>
                <w:szCs w:val="18"/>
              </w:rPr>
              <w:tab/>
            </w:r>
          </w:p>
        </w:tc>
        <w:tc>
          <w:tcPr>
            <w:tcW w:w="1844" w:type="dxa"/>
            <w:tcBorders>
              <w:bottom w:val="single" w:sz="6" w:space="0" w:color="0075C9"/>
            </w:tcBorders>
            <w:noWrap/>
            <w:tcMar>
              <w:top w:w="0" w:type="dxa"/>
              <w:left w:w="144" w:type="dxa"/>
              <w:bottom w:w="0" w:type="dxa"/>
              <w:right w:w="0" w:type="dxa"/>
            </w:tcMar>
            <w:vAlign w:val="bottom"/>
            <w:hideMark/>
          </w:tcPr>
          <w:p w14:paraId="08D34CAA" w14:textId="77777777" w:rsidR="00D246A9" w:rsidRDefault="00D246A9">
            <w:pPr>
              <w:pStyle w:val="NormalWeb"/>
              <w:tabs>
                <w:tab w:val="right" w:pos="1660"/>
                <w:tab w:val="decimal" w:pos="1700"/>
              </w:tabs>
              <w:spacing w:before="0" w:beforeAutospacing="0" w:after="20" w:afterAutospacing="0"/>
              <w:rPr>
                <w:rFonts w:ascii="Arial" w:hAnsi="Arial" w:cs="Arial"/>
                <w:sz w:val="18"/>
                <w:szCs w:val="18"/>
              </w:rPr>
            </w:pPr>
            <w:r>
              <w:rPr>
                <w:rFonts w:ascii="Arial" w:hAnsi="Arial" w:cs="Arial"/>
                <w:sz w:val="18"/>
                <w:szCs w:val="18"/>
              </w:rPr>
              <w:tab/>
              <w:t>128.95%</w:t>
            </w:r>
            <w:r>
              <w:rPr>
                <w:rFonts w:ascii="Arial" w:hAnsi="Arial" w:cs="Arial"/>
                <w:sz w:val="18"/>
                <w:szCs w:val="18"/>
              </w:rPr>
              <w:tab/>
            </w:r>
          </w:p>
        </w:tc>
      </w:tr>
    </w:tbl>
    <w:p w14:paraId="429F403D" w14:textId="77777777"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Based on this result, the total payment percentage for the fiscal year 2021 PSAs was increased by 28.95%, resulting in the payout to our Named Executives of 145.92% of the target fiscal 2021 PSA shares. </w:t>
      </w:r>
    </w:p>
    <w:p w14:paraId="727034EE" w14:textId="77777777" w:rsidR="00D246A9" w:rsidRDefault="00D246A9">
      <w:pPr>
        <w:pStyle w:val="NormalWeb"/>
        <w:keepNext/>
        <w:spacing w:before="0" w:beforeAutospacing="0" w:after="0" w:afterAutospacing="0"/>
      </w:pPr>
      <w:r>
        <w:t> </w:t>
      </w:r>
    </w:p>
    <w:p w14:paraId="04FFBB1C" w14:textId="77777777" w:rsidR="008E18EB" w:rsidRDefault="008E18EB">
      <w:pPr>
        <w:rPr>
          <w:rFonts w:ascii="Arial" w:hAnsi="Arial" w:cs="Arial"/>
          <w:b/>
          <w:bCs/>
          <w:szCs w:val="24"/>
        </w:rPr>
      </w:pPr>
      <w:r>
        <w:br w:type="page"/>
      </w:r>
    </w:p>
    <w:p w14:paraId="55AB8752" w14:textId="0B20D107" w:rsidR="00D246A9" w:rsidRDefault="00D246A9" w:rsidP="008E18EB">
      <w:pPr>
        <w:pStyle w:val="Heading4"/>
      </w:pPr>
      <w:r>
        <w:lastRenderedPageBreak/>
        <w:t xml:space="preserve">Fiscal Year 2022 and 2023 PSAs (Open Performance Periods) </w:t>
      </w:r>
    </w:p>
    <w:p w14:paraId="30732E2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Performance under the fiscal year 2022 and 2023 PSAs will be determined following the end of the three-year performance periods ending June 30, 2024 and 2025, respectively. The number of shares of common stock to be earned will be based on an assessment of (1) performance against the metric goals during the applicable performance period, and (2) Microsoft’s relative TSR during the period. Microsoft’s relative TSR will not increase the shares earned for a performance period unless Microsoft’s absolute TSR for the performance period is positive. The metrics and relative weights under the fiscal year 2022 and 2023 PSAs are set forth on page 47 in the table labeled Fiscal Year 2021 PSA Core Metric Performance and Payout Percentages. </w:t>
      </w:r>
    </w:p>
    <w:p w14:paraId="4DBF68F0" w14:textId="77777777" w:rsidR="00D246A9" w:rsidRDefault="00D246A9">
      <w:pPr>
        <w:pStyle w:val="NormalWeb"/>
        <w:keepNext/>
        <w:spacing w:before="0" w:beforeAutospacing="0" w:after="0" w:afterAutospacing="0"/>
        <w:rPr>
          <w:sz w:val="36"/>
          <w:szCs w:val="36"/>
        </w:rPr>
      </w:pPr>
      <w:r>
        <w:rPr>
          <w:sz w:val="36"/>
          <w:szCs w:val="36"/>
        </w:rPr>
        <w:t> </w:t>
      </w:r>
    </w:p>
    <w:p w14:paraId="43298AF1" w14:textId="77777777" w:rsidR="00D246A9" w:rsidRDefault="00D246A9">
      <w:pPr>
        <w:pStyle w:val="rrdsinglerule"/>
        <w:pBdr>
          <w:top w:val="single" w:sz="6" w:space="0" w:color="0075C9"/>
        </w:pBdr>
        <w:spacing w:before="120"/>
        <w:rPr>
          <w:sz w:val="24"/>
          <w:szCs w:val="24"/>
        </w:rPr>
      </w:pPr>
      <w:r>
        <w:t xml:space="preserve">  </w:t>
      </w:r>
    </w:p>
    <w:p w14:paraId="2BC40B88" w14:textId="77777777" w:rsidR="00D246A9" w:rsidRDefault="00D246A9" w:rsidP="00B4165A">
      <w:pPr>
        <w:pStyle w:val="Heading3"/>
      </w:pPr>
      <w:bookmarkStart w:id="14" w:name="toc356108_15"/>
      <w:bookmarkEnd w:id="14"/>
      <w:r>
        <w:t xml:space="preserve">Section 6 – Other Compensation Policies and Information </w:t>
      </w:r>
    </w:p>
    <w:p w14:paraId="1AFB1AEE" w14:textId="77777777" w:rsidR="00D246A9" w:rsidRDefault="00D246A9" w:rsidP="008E18EB">
      <w:pPr>
        <w:pStyle w:val="Heading4"/>
      </w:pPr>
      <w:r>
        <w:t xml:space="preserve">No Significant Executive Benefits and Perquisites </w:t>
      </w:r>
    </w:p>
    <w:p w14:paraId="2E44CA9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are eligible for the same benefits available to our other full-time employees. In the U.S., our benefits include our section 401(k) plan, employee stock purchase plan, health care plan, life insurance plans, and other welfare benefit programs. In addition to the standard benefits offered to all U.S. employees, we maintain a nonqualified deferred compensation plan for our U.S. executive officers and senior managers. This deferred compensation plan is unfunded, and participation is voluntary. The deferred compensation plan allows our Named Executives to defer their base salary, the cash portion of their Incentive Plan awards, and certain </w:t>
      </w:r>
      <w:proofErr w:type="gramStart"/>
      <w:r>
        <w:rPr>
          <w:rFonts w:ascii="Arial" w:hAnsi="Arial" w:cs="Arial"/>
          <w:sz w:val="18"/>
          <w:szCs w:val="18"/>
        </w:rPr>
        <w:t>on-</w:t>
      </w:r>
      <w:proofErr w:type="gramEnd"/>
      <w:r>
        <w:rPr>
          <w:rFonts w:ascii="Arial" w:hAnsi="Arial" w:cs="Arial"/>
          <w:sz w:val="18"/>
          <w:szCs w:val="18"/>
        </w:rPr>
        <w:t xml:space="preserve">hire bonuses. We do not contribute to the deferred compensation plan. Named Executives are eligible for matching gifts for charitable donations above the maximum for our other U.S.-based full-time employees. </w:t>
      </w:r>
    </w:p>
    <w:p w14:paraId="201DE50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During fiscal year 2023, we provided no executive-only perquisites or other personal benefits to our Named Executives other than matching gifts made to charitable organizations. </w:t>
      </w:r>
    </w:p>
    <w:p w14:paraId="35E8A213" w14:textId="77777777" w:rsidR="00D246A9" w:rsidRDefault="00D246A9" w:rsidP="008E18EB">
      <w:pPr>
        <w:pStyle w:val="Heading4"/>
      </w:pPr>
      <w:r>
        <w:t xml:space="preserve">Post-Employment Compensation </w:t>
      </w:r>
    </w:p>
    <w:p w14:paraId="389E8CE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do not have employment contracts. No Named Executive is entitled to any payments or benefits following a change in control of Microsoft. </w:t>
      </w:r>
    </w:p>
    <w:p w14:paraId="358FE67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may be eligible for additional vesting of their outstanding SAs following termination of employment on the same terms as our other employees. Consistent with our policy for U.S. employees at all levels, our Named Executives who retire from Microsoft after (a) age 65 or (b) age 55 with 15 years of continuous service are eligible for the continuation of vesting of outstanding SAs granted at the time of the annual rewards period if the award was granted over one year before the date of retirement. A pro-rata portion of PSA shares will also continue vesting if the retirement occurs more than one year after the beginning of the performance period. As of June 30, 2023, of our Named Executives only Mr. Nadella and Mr. Smith were retirement-eligible. All employees whose employment with Microsoft terminates due to death or total and permanent disability generally fully vest in their outstanding SAs. Our PSAs vest for the target number of shares upon death or total and permanent disability. The value of our Named Executives’ SAs and PSAs that would have vested assuming a June 30, 2023 termination of employment due to death or total and permanent disability, or due to retirement on that date, are set forth in the table at page 55. </w:t>
      </w:r>
    </w:p>
    <w:p w14:paraId="6C8827D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In addition, our Named Executives are eligible to participate in the Microsoft Senior Executive Severance Benefit Plan (“Severance Plan”). The Severance Plan was adopted to help ensure continuity of key leaders by providing designated executives severance payments and benefits if their employment is terminated without cause. For purposes of the Severance Plan, “cause” means (</w:t>
      </w:r>
      <w:proofErr w:type="spellStart"/>
      <w:r>
        <w:rPr>
          <w:rFonts w:ascii="Arial" w:hAnsi="Arial" w:cs="Arial"/>
          <w:sz w:val="18"/>
          <w:szCs w:val="18"/>
        </w:rPr>
        <w:t>i</w:t>
      </w:r>
      <w:proofErr w:type="spellEnd"/>
      <w:r>
        <w:rPr>
          <w:rFonts w:ascii="Arial" w:hAnsi="Arial" w:cs="Arial"/>
          <w:sz w:val="18"/>
          <w:szCs w:val="18"/>
        </w:rPr>
        <w:t xml:space="preserve">) a conviction or plea of guilty or no contest to a felony or certain misdemeanors; (ii) engaging in gross misconduct; (iii) repeated failure to substantially perform the duties of the Named Executive’s role; (iv) violation of any securities laws; or (v) violation of Microsoft’s policies designed to prevent violations of law. </w:t>
      </w:r>
    </w:p>
    <w:p w14:paraId="3E6D0BB8"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The Severance Plan payments and benefits have four components – cash, stock vesting, continued health care, and outplacement assistance – all provided by Microsoft. Cash payments consist of (</w:t>
      </w:r>
      <w:proofErr w:type="spellStart"/>
      <w:r>
        <w:rPr>
          <w:rFonts w:ascii="Arial" w:hAnsi="Arial" w:cs="Arial"/>
          <w:sz w:val="18"/>
          <w:szCs w:val="18"/>
        </w:rPr>
        <w:t>i</w:t>
      </w:r>
      <w:proofErr w:type="spellEnd"/>
      <w:r>
        <w:rPr>
          <w:rFonts w:ascii="Arial" w:hAnsi="Arial" w:cs="Arial"/>
          <w:sz w:val="18"/>
          <w:szCs w:val="18"/>
        </w:rPr>
        <w:t xml:space="preserve">) a severance payment equal to 12 months’ base salary plus target annual cash incentive award, payable in a lump sum within 60 days after termination of employment; and (ii) a pro-rata payment of the Named Executive’s target annual cash incentive award for the partial year of work, payable in a lump sum at the same time other Incentive Plan cash awards for the year are paid. Stock vesting applies to SAs and PSAs. SAs that otherwise would vest in the 12-month period after employment terminates continue to vest. After the first year of the PSA performance period is completed, a pro-rata portion of any PSA shares will also vest, and the number of shares subject to pro-ration is the lesser of the target award shares or the shares that are otherwise earned and payable after the end of the performance period. Continued contributions to premiums for COBRA health care continuation coverage and outplacement assistance will be provided on the same terms as are available to other employees whose employment is terminated without cause. There is no change-in-control provision in the Severance Plan. To receive the Severance Plan payments and benefits, the Named Executive must execute a separation agreement that includes a release of claims in favor of Microsoft, confidentiality and non-disparagement provisions, and 12-month non-compete/non-solicitation restrictions. Our Named Executives’ Severance Plan benefits assuming a termination of employment without cause on June 30, 2023, are set forth in the table at page 55. </w:t>
      </w:r>
    </w:p>
    <w:p w14:paraId="786756B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Mr. Nadella participates in the Severance Plan on the same terms as our other executive officers. </w:t>
      </w:r>
    </w:p>
    <w:p w14:paraId="2702ED50" w14:textId="77777777" w:rsidR="008E18EB" w:rsidRDefault="008E18EB">
      <w:pPr>
        <w:rPr>
          <w:rFonts w:ascii="Arial" w:hAnsi="Arial" w:cs="Arial"/>
          <w:b/>
          <w:bCs/>
          <w:szCs w:val="24"/>
        </w:rPr>
      </w:pPr>
      <w:r>
        <w:br w:type="page"/>
      </w:r>
    </w:p>
    <w:p w14:paraId="2F760E75" w14:textId="33498869" w:rsidR="00D246A9" w:rsidRDefault="00D246A9" w:rsidP="008E18EB">
      <w:pPr>
        <w:pStyle w:val="Heading4"/>
      </w:pPr>
      <w:r>
        <w:lastRenderedPageBreak/>
        <w:t xml:space="preserve">Strong Clawback Policy </w:t>
      </w:r>
    </w:p>
    <w:p w14:paraId="5F157B0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Accountability is a fundamental value of Microsoft. To reinforce this value through our executive compensation program, our executive officers, other members of the SLT, and our Chief Accounting Officer are subject to a strong ‘no fault’ executive compensation recovery (“clawback”) policy. Under this policy, our Compensation Committee may seek to recover payments of incentive compensation in the event of a restatement, as defined under the recently approved incentive-based compensation recovery provisions of the Dodd-Frank Act and the Nasdaq listing rules. Our Compensation Committee may also seek recovery of any incentive compensation awarded during a period where a covered executive committed a significant legal or compliance violation, irrespective of whether such violation occurred in connection with a restatement. Our executive compensation recovery policy is available on our website at </w:t>
      </w:r>
      <w:r>
        <w:rPr>
          <w:rFonts w:ascii="Arial" w:hAnsi="Arial" w:cs="Arial"/>
          <w:sz w:val="18"/>
          <w:szCs w:val="18"/>
          <w:u w:val="single"/>
        </w:rPr>
        <w:t>aka.ms/policiesandguidelines</w:t>
      </w:r>
      <w:r>
        <w:rPr>
          <w:rFonts w:ascii="Arial" w:hAnsi="Arial" w:cs="Arial"/>
          <w:sz w:val="18"/>
          <w:szCs w:val="18"/>
        </w:rPr>
        <w:t xml:space="preserve">. </w:t>
      </w:r>
    </w:p>
    <w:p w14:paraId="561E14FC" w14:textId="77777777" w:rsidR="00D246A9" w:rsidRDefault="00D246A9" w:rsidP="008E18EB">
      <w:pPr>
        <w:pStyle w:val="Heading4"/>
      </w:pPr>
      <w:r>
        <w:t xml:space="preserve">Robust Stock Ownership Policy </w:t>
      </w:r>
    </w:p>
    <w:p w14:paraId="5B17E60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executive officers and certain other senior executives are required to maintain a minimum equity stake in Microsoft. This policy embodies our Compensation Committee’s belief that our most senior executives should maintain a significant personal financial stake in Microsoft to promote a long-term perspective in managing our business. In addition, the policy helps align executive and shareholder interests, which reduces incentive for excessive short-term risk taking. Each covered executive is required to acquire and maintain ownership of shares of Microsoft common stock equal to a specified multiple of his or her base salary, which for our Named Executives ranges from 8 to 15 times base salary, as shown in the table below. Each covered executive must retain 50% of all net shares (post-tax) that vest until achieving his or her minimum share ownership requirement. </w:t>
      </w:r>
    </w:p>
    <w:p w14:paraId="3EE09C9E"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9060"/>
        <w:gridCol w:w="1740"/>
      </w:tblGrid>
      <w:tr w:rsidR="00D246A9" w14:paraId="50F786DC" w14:textId="77777777" w:rsidTr="00FE0A0A">
        <w:trPr>
          <w:cantSplit/>
          <w:tblHeader/>
        </w:trPr>
        <w:tc>
          <w:tcPr>
            <w:tcW w:w="9060" w:type="dxa"/>
            <w:tcBorders>
              <w:bottom w:val="single" w:sz="8" w:space="0" w:color="000000"/>
            </w:tcBorders>
            <w:tcMar>
              <w:top w:w="0" w:type="dxa"/>
              <w:left w:w="0" w:type="dxa"/>
              <w:bottom w:w="40" w:type="dxa"/>
              <w:right w:w="0" w:type="dxa"/>
            </w:tcMar>
            <w:vAlign w:val="bottom"/>
            <w:hideMark/>
          </w:tcPr>
          <w:p w14:paraId="190A85EF"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1740" w:type="dxa"/>
            <w:tcBorders>
              <w:bottom w:val="single" w:sz="8" w:space="0" w:color="000000"/>
            </w:tcBorders>
            <w:tcMar>
              <w:top w:w="0" w:type="dxa"/>
              <w:left w:w="144" w:type="dxa"/>
              <w:bottom w:w="0" w:type="dxa"/>
              <w:right w:w="0" w:type="dxa"/>
            </w:tcMar>
            <w:vAlign w:val="bottom"/>
            <w:hideMark/>
          </w:tcPr>
          <w:p w14:paraId="43C0E45C"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Share Ownership</w:t>
            </w:r>
          </w:p>
          <w:p w14:paraId="5A0582A6"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Requirement as of</w:t>
            </w:r>
          </w:p>
          <w:p w14:paraId="2072035B"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June 30, 2023</w:t>
            </w:r>
          </w:p>
        </w:tc>
      </w:tr>
      <w:tr w:rsidR="00D246A9" w14:paraId="328EBED5" w14:textId="77777777" w:rsidTr="00FE0A0A">
        <w:trPr>
          <w:cantSplit/>
        </w:trPr>
        <w:tc>
          <w:tcPr>
            <w:tcW w:w="9060" w:type="dxa"/>
            <w:tcBorders>
              <w:bottom w:val="single" w:sz="6" w:space="0" w:color="0075C9"/>
            </w:tcBorders>
            <w:tcMar>
              <w:top w:w="0" w:type="dxa"/>
              <w:left w:w="0" w:type="dxa"/>
              <w:bottom w:w="40" w:type="dxa"/>
              <w:right w:w="0" w:type="dxa"/>
            </w:tcMar>
            <w:hideMark/>
          </w:tcPr>
          <w:p w14:paraId="55633544"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740" w:type="dxa"/>
            <w:tcBorders>
              <w:bottom w:val="single" w:sz="6" w:space="0" w:color="0075C9"/>
            </w:tcBorders>
            <w:tcMar>
              <w:top w:w="0" w:type="dxa"/>
              <w:left w:w="0" w:type="dxa"/>
              <w:bottom w:w="40" w:type="dxa"/>
              <w:right w:w="0" w:type="dxa"/>
            </w:tcMar>
            <w:vAlign w:val="bottom"/>
            <w:hideMark/>
          </w:tcPr>
          <w:p w14:paraId="59FF4F36" w14:textId="77777777" w:rsidR="00D246A9" w:rsidRDefault="00D246A9">
            <w:pPr>
              <w:pStyle w:val="NormalWeb"/>
              <w:tabs>
                <w:tab w:val="right" w:pos="1740"/>
                <w:tab w:val="decimal" w:pos="1780"/>
              </w:tabs>
              <w:spacing w:before="0" w:beforeAutospacing="0" w:after="20" w:afterAutospacing="0"/>
              <w:jc w:val="right"/>
              <w:rPr>
                <w:rFonts w:ascii="Arial" w:hAnsi="Arial" w:cs="Arial"/>
                <w:sz w:val="18"/>
                <w:szCs w:val="18"/>
              </w:rPr>
            </w:pPr>
            <w:r>
              <w:rPr>
                <w:rFonts w:ascii="Arial" w:hAnsi="Arial" w:cs="Arial"/>
                <w:sz w:val="18"/>
                <w:szCs w:val="18"/>
              </w:rPr>
              <w:tab/>
              <w:t>15x base salary</w:t>
            </w:r>
            <w:r>
              <w:rPr>
                <w:rFonts w:ascii="Arial" w:hAnsi="Arial" w:cs="Arial"/>
                <w:sz w:val="18"/>
                <w:szCs w:val="18"/>
              </w:rPr>
              <w:tab/>
            </w:r>
          </w:p>
        </w:tc>
      </w:tr>
      <w:tr w:rsidR="00D246A9" w14:paraId="6AB15E0A" w14:textId="77777777" w:rsidTr="00FE0A0A">
        <w:trPr>
          <w:cantSplit/>
        </w:trPr>
        <w:tc>
          <w:tcPr>
            <w:tcW w:w="9060" w:type="dxa"/>
            <w:tcBorders>
              <w:bottom w:val="single" w:sz="6" w:space="0" w:color="0075C9"/>
            </w:tcBorders>
            <w:tcMar>
              <w:top w:w="0" w:type="dxa"/>
              <w:left w:w="0" w:type="dxa"/>
              <w:bottom w:w="40" w:type="dxa"/>
              <w:right w:w="0" w:type="dxa"/>
            </w:tcMar>
            <w:hideMark/>
          </w:tcPr>
          <w:p w14:paraId="293BC71B"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1740" w:type="dxa"/>
            <w:tcBorders>
              <w:bottom w:val="single" w:sz="6" w:space="0" w:color="0075C9"/>
            </w:tcBorders>
            <w:tcMar>
              <w:top w:w="0" w:type="dxa"/>
              <w:left w:w="0" w:type="dxa"/>
              <w:bottom w:w="40" w:type="dxa"/>
              <w:right w:w="0" w:type="dxa"/>
            </w:tcMar>
            <w:vAlign w:val="bottom"/>
            <w:hideMark/>
          </w:tcPr>
          <w:p w14:paraId="75522063" w14:textId="77777777" w:rsidR="00D246A9" w:rsidRDefault="00D246A9">
            <w:pPr>
              <w:pStyle w:val="NormalWeb"/>
              <w:tabs>
                <w:tab w:val="right" w:pos="1740"/>
                <w:tab w:val="decimal" w:pos="1780"/>
              </w:tabs>
              <w:spacing w:before="0" w:beforeAutospacing="0" w:after="20" w:afterAutospacing="0"/>
              <w:jc w:val="right"/>
              <w:rPr>
                <w:rFonts w:ascii="Arial" w:hAnsi="Arial" w:cs="Arial"/>
                <w:sz w:val="18"/>
                <w:szCs w:val="18"/>
              </w:rPr>
            </w:pPr>
            <w:r>
              <w:rPr>
                <w:rFonts w:ascii="Arial" w:hAnsi="Arial" w:cs="Arial"/>
                <w:sz w:val="18"/>
                <w:szCs w:val="18"/>
              </w:rPr>
              <w:tab/>
              <w:t>8x base salary</w:t>
            </w:r>
            <w:r>
              <w:rPr>
                <w:rFonts w:ascii="Arial" w:hAnsi="Arial" w:cs="Arial"/>
                <w:sz w:val="18"/>
                <w:szCs w:val="18"/>
              </w:rPr>
              <w:tab/>
            </w:r>
          </w:p>
        </w:tc>
      </w:tr>
      <w:tr w:rsidR="00D246A9" w14:paraId="56147D81" w14:textId="77777777" w:rsidTr="00FE0A0A">
        <w:trPr>
          <w:cantSplit/>
        </w:trPr>
        <w:tc>
          <w:tcPr>
            <w:tcW w:w="9060" w:type="dxa"/>
            <w:tcBorders>
              <w:bottom w:val="single" w:sz="6" w:space="0" w:color="0075C9"/>
            </w:tcBorders>
            <w:tcMar>
              <w:top w:w="0" w:type="dxa"/>
              <w:left w:w="0" w:type="dxa"/>
              <w:bottom w:w="40" w:type="dxa"/>
              <w:right w:w="0" w:type="dxa"/>
            </w:tcMar>
            <w:hideMark/>
          </w:tcPr>
          <w:p w14:paraId="319E8044"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1740" w:type="dxa"/>
            <w:tcBorders>
              <w:bottom w:val="single" w:sz="6" w:space="0" w:color="0075C9"/>
            </w:tcBorders>
            <w:tcMar>
              <w:top w:w="0" w:type="dxa"/>
              <w:left w:w="0" w:type="dxa"/>
              <w:bottom w:w="40" w:type="dxa"/>
              <w:right w:w="0" w:type="dxa"/>
            </w:tcMar>
            <w:vAlign w:val="bottom"/>
            <w:hideMark/>
          </w:tcPr>
          <w:p w14:paraId="28AB7E2E" w14:textId="77777777" w:rsidR="00D246A9" w:rsidRDefault="00D246A9">
            <w:pPr>
              <w:pStyle w:val="NormalWeb"/>
              <w:tabs>
                <w:tab w:val="right" w:pos="1740"/>
                <w:tab w:val="decimal" w:pos="1780"/>
              </w:tabs>
              <w:spacing w:before="0" w:beforeAutospacing="0" w:after="20" w:afterAutospacing="0"/>
              <w:jc w:val="right"/>
              <w:rPr>
                <w:rFonts w:ascii="Arial" w:hAnsi="Arial" w:cs="Arial"/>
                <w:sz w:val="18"/>
                <w:szCs w:val="18"/>
              </w:rPr>
            </w:pPr>
            <w:r>
              <w:rPr>
                <w:rFonts w:ascii="Arial" w:hAnsi="Arial" w:cs="Arial"/>
                <w:sz w:val="18"/>
                <w:szCs w:val="18"/>
              </w:rPr>
              <w:tab/>
              <w:t>8x base salary</w:t>
            </w:r>
            <w:r>
              <w:rPr>
                <w:rFonts w:ascii="Arial" w:hAnsi="Arial" w:cs="Arial"/>
                <w:sz w:val="18"/>
                <w:szCs w:val="18"/>
              </w:rPr>
              <w:tab/>
            </w:r>
          </w:p>
        </w:tc>
      </w:tr>
      <w:tr w:rsidR="00D246A9" w14:paraId="4A754BB3" w14:textId="77777777" w:rsidTr="00FE0A0A">
        <w:trPr>
          <w:cantSplit/>
        </w:trPr>
        <w:tc>
          <w:tcPr>
            <w:tcW w:w="9060" w:type="dxa"/>
            <w:tcBorders>
              <w:bottom w:val="single" w:sz="6" w:space="0" w:color="0075C9"/>
            </w:tcBorders>
            <w:tcMar>
              <w:top w:w="0" w:type="dxa"/>
              <w:left w:w="0" w:type="dxa"/>
              <w:bottom w:w="40" w:type="dxa"/>
              <w:right w:w="0" w:type="dxa"/>
            </w:tcMar>
            <w:hideMark/>
          </w:tcPr>
          <w:p w14:paraId="497D0BFF"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1740" w:type="dxa"/>
            <w:tcBorders>
              <w:bottom w:val="single" w:sz="6" w:space="0" w:color="0075C9"/>
            </w:tcBorders>
            <w:tcMar>
              <w:top w:w="0" w:type="dxa"/>
              <w:left w:w="0" w:type="dxa"/>
              <w:bottom w:w="40" w:type="dxa"/>
              <w:right w:w="0" w:type="dxa"/>
            </w:tcMar>
            <w:vAlign w:val="bottom"/>
            <w:hideMark/>
          </w:tcPr>
          <w:p w14:paraId="5D421039" w14:textId="77777777" w:rsidR="00D246A9" w:rsidRDefault="00D246A9">
            <w:pPr>
              <w:pStyle w:val="NormalWeb"/>
              <w:tabs>
                <w:tab w:val="right" w:pos="1740"/>
                <w:tab w:val="decimal" w:pos="1780"/>
              </w:tabs>
              <w:spacing w:before="0" w:beforeAutospacing="0" w:after="20" w:afterAutospacing="0"/>
              <w:jc w:val="right"/>
              <w:rPr>
                <w:rFonts w:ascii="Arial" w:hAnsi="Arial" w:cs="Arial"/>
                <w:sz w:val="18"/>
                <w:szCs w:val="18"/>
              </w:rPr>
            </w:pPr>
            <w:r>
              <w:rPr>
                <w:rFonts w:ascii="Arial" w:hAnsi="Arial" w:cs="Arial"/>
                <w:sz w:val="18"/>
                <w:szCs w:val="18"/>
              </w:rPr>
              <w:tab/>
              <w:t>8x base salary</w:t>
            </w:r>
            <w:r>
              <w:rPr>
                <w:rFonts w:ascii="Arial" w:hAnsi="Arial" w:cs="Arial"/>
                <w:sz w:val="18"/>
                <w:szCs w:val="18"/>
              </w:rPr>
              <w:tab/>
            </w:r>
          </w:p>
        </w:tc>
      </w:tr>
      <w:tr w:rsidR="00D246A9" w14:paraId="18BED9A6" w14:textId="77777777" w:rsidTr="00FE0A0A">
        <w:trPr>
          <w:cantSplit/>
        </w:trPr>
        <w:tc>
          <w:tcPr>
            <w:tcW w:w="9060" w:type="dxa"/>
            <w:tcBorders>
              <w:bottom w:val="single" w:sz="6" w:space="0" w:color="0075C9"/>
            </w:tcBorders>
            <w:tcMar>
              <w:top w:w="0" w:type="dxa"/>
              <w:left w:w="0" w:type="dxa"/>
              <w:bottom w:w="40" w:type="dxa"/>
              <w:right w:w="0" w:type="dxa"/>
            </w:tcMar>
            <w:hideMark/>
          </w:tcPr>
          <w:p w14:paraId="09CC7E05"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1740" w:type="dxa"/>
            <w:tcBorders>
              <w:bottom w:val="single" w:sz="6" w:space="0" w:color="0075C9"/>
            </w:tcBorders>
            <w:tcMar>
              <w:top w:w="0" w:type="dxa"/>
              <w:left w:w="0" w:type="dxa"/>
              <w:bottom w:w="40" w:type="dxa"/>
              <w:right w:w="0" w:type="dxa"/>
            </w:tcMar>
            <w:vAlign w:val="bottom"/>
            <w:hideMark/>
          </w:tcPr>
          <w:p w14:paraId="050B2CB5" w14:textId="77777777" w:rsidR="00D246A9" w:rsidRDefault="00D246A9">
            <w:pPr>
              <w:pStyle w:val="NormalWeb"/>
              <w:tabs>
                <w:tab w:val="right" w:pos="1740"/>
                <w:tab w:val="decimal" w:pos="1780"/>
              </w:tabs>
              <w:spacing w:before="0" w:beforeAutospacing="0" w:after="20" w:afterAutospacing="0"/>
              <w:jc w:val="right"/>
              <w:rPr>
                <w:rFonts w:ascii="Arial" w:hAnsi="Arial" w:cs="Arial"/>
                <w:sz w:val="18"/>
                <w:szCs w:val="18"/>
              </w:rPr>
            </w:pPr>
            <w:r>
              <w:rPr>
                <w:rFonts w:ascii="Arial" w:hAnsi="Arial" w:cs="Arial"/>
                <w:sz w:val="18"/>
                <w:szCs w:val="18"/>
              </w:rPr>
              <w:tab/>
              <w:t>8x base salary</w:t>
            </w:r>
            <w:r>
              <w:rPr>
                <w:rFonts w:ascii="Arial" w:hAnsi="Arial" w:cs="Arial"/>
                <w:sz w:val="18"/>
                <w:szCs w:val="18"/>
              </w:rPr>
              <w:tab/>
            </w:r>
          </w:p>
        </w:tc>
      </w:tr>
    </w:tbl>
    <w:p w14:paraId="6CB06A20" w14:textId="77777777"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fiscal year 2023, each of our Named Executives complied with our stock ownership policy. Our stock ownership policy is available on our website at </w:t>
      </w:r>
      <w:r>
        <w:rPr>
          <w:rFonts w:ascii="Arial" w:hAnsi="Arial" w:cs="Arial"/>
          <w:sz w:val="18"/>
          <w:szCs w:val="18"/>
          <w:u w:val="single"/>
        </w:rPr>
        <w:t>aka.ms/policiesandguidelines</w:t>
      </w:r>
      <w:r>
        <w:rPr>
          <w:rFonts w:ascii="Arial" w:hAnsi="Arial" w:cs="Arial"/>
          <w:sz w:val="18"/>
          <w:szCs w:val="18"/>
        </w:rPr>
        <w:t xml:space="preserve">. </w:t>
      </w:r>
    </w:p>
    <w:p w14:paraId="46E45000" w14:textId="77777777" w:rsidR="00D246A9" w:rsidRDefault="00D246A9" w:rsidP="008E18EB">
      <w:pPr>
        <w:pStyle w:val="Heading4"/>
      </w:pPr>
      <w:r>
        <w:t xml:space="preserve">Hedging and Pledging Policy </w:t>
      </w:r>
    </w:p>
    <w:p w14:paraId="3FDDEBF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are subject to our Derivatives Trading, Hedging, and Pledging policy described on page 14. </w:t>
      </w:r>
    </w:p>
    <w:p w14:paraId="3FB12B28" w14:textId="77777777" w:rsidR="00D246A9" w:rsidRDefault="00D246A9" w:rsidP="008E18EB">
      <w:pPr>
        <w:pStyle w:val="Heading4"/>
      </w:pPr>
      <w:r>
        <w:t xml:space="preserve">Deductibility of Executive Compensation </w:t>
      </w:r>
    </w:p>
    <w:p w14:paraId="0AD176A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Section 162(m) of the Internal Revenue Code (“Section 162(m)”) imposes an annual deduction limit of $1 million on the amount of compensation paid to each of the CEO, the CFO, and certain other current or former named executive officers (together, “covered employees”). Compensation to our Named Executives over this limit is </w:t>
      </w:r>
      <w:proofErr w:type="gramStart"/>
      <w:r>
        <w:rPr>
          <w:rFonts w:ascii="Arial" w:hAnsi="Arial" w:cs="Arial"/>
          <w:sz w:val="18"/>
          <w:szCs w:val="18"/>
        </w:rPr>
        <w:t>nondeductible</w:t>
      </w:r>
      <w:proofErr w:type="gramEnd"/>
      <w:r>
        <w:rPr>
          <w:rFonts w:ascii="Arial" w:hAnsi="Arial" w:cs="Arial"/>
          <w:sz w:val="18"/>
          <w:szCs w:val="18"/>
        </w:rPr>
        <w:t xml:space="preserve">. </w:t>
      </w:r>
    </w:p>
    <w:p w14:paraId="20C08A7B" w14:textId="77777777" w:rsidR="00D246A9" w:rsidRDefault="00D246A9">
      <w:pPr>
        <w:pStyle w:val="NormalWeb"/>
        <w:spacing w:before="180" w:beforeAutospacing="0" w:after="0" w:afterAutospacing="0"/>
        <w:rPr>
          <w:sz w:val="2"/>
          <w:szCs w:val="2"/>
        </w:rPr>
      </w:pPr>
      <w:r>
        <w:rPr>
          <w:sz w:val="2"/>
          <w:szCs w:val="2"/>
        </w:rPr>
        <w:t> </w:t>
      </w:r>
    </w:p>
    <w:p w14:paraId="07C272A6" w14:textId="77777777" w:rsidR="008E18EB" w:rsidRDefault="008E18EB">
      <w:pPr>
        <w:rPr>
          <w:rFonts w:ascii="Arial" w:hAnsi="Arial" w:cs="Arial"/>
          <w:b/>
          <w:bCs/>
          <w:szCs w:val="24"/>
        </w:rPr>
      </w:pPr>
      <w:r>
        <w:br w:type="page"/>
      </w:r>
    </w:p>
    <w:p w14:paraId="158D468F" w14:textId="66D8019B" w:rsidR="00D246A9" w:rsidRDefault="00D246A9" w:rsidP="008E18EB">
      <w:pPr>
        <w:pStyle w:val="Heading4"/>
      </w:pPr>
      <w:r>
        <w:lastRenderedPageBreak/>
        <w:t xml:space="preserve">Annual Compensation Risk Assessment </w:t>
      </w:r>
    </w:p>
    <w:p w14:paraId="67D8A66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w:t>
      </w:r>
      <w:proofErr w:type="gramStart"/>
      <w:r>
        <w:rPr>
          <w:rFonts w:ascii="Arial" w:hAnsi="Arial" w:cs="Arial"/>
          <w:sz w:val="18"/>
          <w:szCs w:val="18"/>
        </w:rPr>
        <w:t>performed</w:t>
      </w:r>
      <w:proofErr w:type="gramEnd"/>
      <w:r>
        <w:rPr>
          <w:rFonts w:ascii="Arial" w:hAnsi="Arial" w:cs="Arial"/>
          <w:sz w:val="18"/>
          <w:szCs w:val="18"/>
        </w:rPr>
        <w:t xml:space="preserve"> an annual assessment for our Compensation and Audit Committees of our Board of Directors to determine whether the risks arising from our fiscal year 2023 compensation policies and practices were reasonably likely to have a material adverse effect on Microsoft. Our assessment reviewed the material elements of executive and non-executive employee compensation. We concluded these policies and practices do not create risk that is reasonably likely to have a material adverse effect on Microsoft. </w:t>
      </w:r>
    </w:p>
    <w:p w14:paraId="7D759290"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structure of our compensation program for our executive officers does not incentivize unnecessary or excessive risk-taking. The base salary component of compensation does not encourage risk-taking because it is a fixed amount. The Incentive Plan awards have these risk-limiting characteristics: </w:t>
      </w:r>
    </w:p>
    <w:p w14:paraId="22849EE4" w14:textId="77777777" w:rsidR="00D246A9" w:rsidRDefault="00D246A9">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600" w:firstRow="0" w:lastRow="0" w:firstColumn="0" w:lastColumn="0" w:noHBand="1" w:noVBand="1"/>
      </w:tblPr>
      <w:tblGrid>
        <w:gridCol w:w="5400"/>
        <w:gridCol w:w="5400"/>
      </w:tblGrid>
      <w:tr w:rsidR="00D246A9" w14:paraId="271F24DD" w14:textId="77777777" w:rsidTr="003F491A">
        <w:trPr>
          <w:cantSplit/>
          <w:jc w:val="center"/>
        </w:trPr>
        <w:tc>
          <w:tcPr>
            <w:tcW w:w="5400" w:type="dxa"/>
            <w:hideMark/>
          </w:tcPr>
          <w:p w14:paraId="3E05094F" w14:textId="77777777" w:rsidR="00D246A9" w:rsidRPr="00306F7C"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Cash incentive awards under the Incentive Plan are limited to 200% of a target cash incentive award</w:t>
            </w:r>
          </w:p>
          <w:p w14:paraId="6242F3BD"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3D8D83E9"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Cash incentive awards are structured 50% (70% for CEO) based on pre-established goals (balance of growth and profitability goals) and 50% (30% for CEO) based on operational performance as assessed across three performance categories, diversifying the risk associated with any single aspect of performance</w:t>
            </w:r>
          </w:p>
          <w:p w14:paraId="790A4AD9"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AE6526F"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The majority of Incentive Plan award value is delivered in awards for shares of Microsoft common stock with multi-year vesting schedules or performance periods, which aligns the interests of our executive officers to long-term shareholder interests</w:t>
            </w:r>
          </w:p>
          <w:p w14:paraId="10F51982"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5E0580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We maintain robust executive stock ownership requirements ranging from 5x to 15x annual salary, which reduces incentive for excessive short-term risk taking</w:t>
            </w:r>
          </w:p>
          <w:p w14:paraId="2A9D1F04"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68BBB192"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PSA metrics further diversify the elements of the program to minimize the incentive to produce any particular outcome</w:t>
            </w:r>
          </w:p>
          <w:p w14:paraId="03981512" w14:textId="77777777" w:rsidR="00D246A9" w:rsidRDefault="00D246A9">
            <w:pPr>
              <w:pStyle w:val="NormalWeb"/>
              <w:spacing w:before="0" w:beforeAutospacing="0" w:after="20" w:afterAutospacing="0"/>
              <w:rPr>
                <w:rFonts w:ascii="Arial" w:hAnsi="Arial" w:cs="Arial"/>
              </w:rPr>
            </w:pPr>
            <w:r>
              <w:rPr>
                <w:rFonts w:ascii="Arial" w:hAnsi="Arial" w:cs="Arial"/>
              </w:rPr>
              <w:t> </w:t>
            </w:r>
          </w:p>
        </w:tc>
        <w:tc>
          <w:tcPr>
            <w:tcW w:w="5400" w:type="dxa"/>
            <w:hideMark/>
          </w:tcPr>
          <w:p w14:paraId="7C6CFDA5" w14:textId="77777777" w:rsidR="00D246A9" w:rsidRDefault="00D246A9">
            <w:pPr>
              <w:pStyle w:val="NormalWeb"/>
              <w:spacing w:before="0" w:beforeAutospacing="0" w:after="0" w:afterAutospacing="0"/>
              <w:ind w:left="214" w:hanging="214"/>
              <w:rPr>
                <w:rFonts w:ascii="Arial" w:hAnsi="Arial" w:cs="Arial"/>
                <w:sz w:val="18"/>
                <w:szCs w:val="18"/>
              </w:rPr>
            </w:pPr>
            <w:r>
              <w:rPr>
                <w:rFonts w:ascii="Arial" w:hAnsi="Arial" w:cs="Arial"/>
                <w:sz w:val="18"/>
                <w:szCs w:val="18"/>
              </w:rPr>
              <w:t>•</w:t>
            </w:r>
            <w:r>
              <w:rPr>
                <w:rFonts w:ascii="Arial" w:hAnsi="Arial" w:cs="Arial"/>
                <w:sz w:val="18"/>
                <w:szCs w:val="18"/>
              </w:rPr>
              <w:tab/>
              <w:t>PSAs use Company-wide measures that are not specific to any one executive officer’s sphere of responsibility and that apply equally to all participants to encourage a unified and responsible approach to achieving financial and strategic goals</w:t>
            </w:r>
          </w:p>
          <w:p w14:paraId="7C4BA64A"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D374EC1" w14:textId="77777777" w:rsidR="00D246A9" w:rsidRDefault="00D246A9">
            <w:pPr>
              <w:pStyle w:val="NormalWeb"/>
              <w:spacing w:before="0" w:beforeAutospacing="0" w:after="0" w:afterAutospacing="0"/>
              <w:ind w:left="214" w:hanging="214"/>
              <w:rPr>
                <w:rFonts w:ascii="Arial" w:hAnsi="Arial" w:cs="Arial"/>
                <w:sz w:val="18"/>
                <w:szCs w:val="18"/>
              </w:rPr>
            </w:pPr>
            <w:r>
              <w:rPr>
                <w:rFonts w:ascii="Arial" w:hAnsi="Arial" w:cs="Arial"/>
                <w:sz w:val="18"/>
                <w:szCs w:val="18"/>
              </w:rPr>
              <w:t>•</w:t>
            </w:r>
            <w:r>
              <w:rPr>
                <w:rFonts w:ascii="Arial" w:hAnsi="Arial" w:cs="Arial"/>
                <w:sz w:val="18"/>
                <w:szCs w:val="18"/>
              </w:rPr>
              <w:tab/>
              <w:t>Overlapping performance periods for PSAs limit the impact of short-term business performance or share price fluctuations on final outcomes</w:t>
            </w:r>
          </w:p>
          <w:p w14:paraId="4DD53547"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0769C5AE" w14:textId="77777777" w:rsidR="00D246A9" w:rsidRDefault="00D246A9">
            <w:pPr>
              <w:pStyle w:val="NormalWeb"/>
              <w:spacing w:before="0" w:beforeAutospacing="0" w:after="0" w:afterAutospacing="0"/>
              <w:ind w:left="214" w:hanging="214"/>
              <w:rPr>
                <w:rFonts w:ascii="Arial" w:hAnsi="Arial" w:cs="Arial"/>
                <w:sz w:val="18"/>
                <w:szCs w:val="18"/>
              </w:rPr>
            </w:pPr>
            <w:r>
              <w:rPr>
                <w:rFonts w:ascii="Arial" w:hAnsi="Arial" w:cs="Arial"/>
                <w:sz w:val="18"/>
                <w:szCs w:val="18"/>
              </w:rPr>
              <w:t>•</w:t>
            </w:r>
            <w:r>
              <w:rPr>
                <w:rFonts w:ascii="Arial" w:hAnsi="Arial" w:cs="Arial"/>
                <w:sz w:val="18"/>
                <w:szCs w:val="18"/>
              </w:rPr>
              <w:tab/>
              <w:t>Equity awards are not made in the form of stock options, which may provide an asymmetrical incentive to take unnecessary or excessive risks to increase the market price of Microsoft common stock</w:t>
            </w:r>
          </w:p>
          <w:p w14:paraId="7FD1525D"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C51B5CB" w14:textId="77777777" w:rsidR="00D246A9" w:rsidRDefault="00D246A9">
            <w:pPr>
              <w:pStyle w:val="NormalWeb"/>
              <w:spacing w:before="0" w:beforeAutospacing="0" w:after="0" w:afterAutospacing="0"/>
              <w:ind w:left="214" w:hanging="214"/>
              <w:rPr>
                <w:rFonts w:ascii="Arial" w:hAnsi="Arial" w:cs="Arial"/>
                <w:sz w:val="18"/>
                <w:szCs w:val="18"/>
              </w:rPr>
            </w:pPr>
            <w:r>
              <w:rPr>
                <w:rFonts w:ascii="Arial" w:hAnsi="Arial" w:cs="Arial"/>
                <w:sz w:val="18"/>
                <w:szCs w:val="18"/>
              </w:rPr>
              <w:t>•</w:t>
            </w:r>
            <w:r>
              <w:rPr>
                <w:rFonts w:ascii="Arial" w:hAnsi="Arial" w:cs="Arial"/>
                <w:sz w:val="18"/>
                <w:szCs w:val="18"/>
              </w:rPr>
              <w:tab/>
              <w:t>Members of our Compensation Committee (or for Mr. Nadella, the independent members of our Board of Directors) approve all Incentive Plan awards to executive officers, including performance achievement levels that determine final payout outcomes, and have the opportunity to reduce payments and use negative discretion, if appropriate</w:t>
            </w:r>
          </w:p>
          <w:p w14:paraId="05B7F7E7"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DAE1382" w14:textId="77777777" w:rsidR="00D246A9" w:rsidRDefault="00D246A9">
            <w:pPr>
              <w:pStyle w:val="NormalWeb"/>
              <w:spacing w:before="0" w:beforeAutospacing="0" w:after="0" w:afterAutospacing="0"/>
              <w:ind w:left="214" w:hanging="214"/>
              <w:rPr>
                <w:rFonts w:ascii="Arial" w:hAnsi="Arial" w:cs="Arial"/>
                <w:sz w:val="18"/>
                <w:szCs w:val="18"/>
              </w:rPr>
            </w:pPr>
            <w:r>
              <w:rPr>
                <w:rFonts w:ascii="Arial" w:hAnsi="Arial" w:cs="Arial"/>
                <w:sz w:val="18"/>
                <w:szCs w:val="18"/>
              </w:rPr>
              <w:t>•</w:t>
            </w:r>
            <w:r>
              <w:rPr>
                <w:rFonts w:ascii="Arial" w:hAnsi="Arial" w:cs="Arial"/>
                <w:sz w:val="18"/>
                <w:szCs w:val="18"/>
              </w:rPr>
              <w:tab/>
              <w:t>Awards are subject to the Company’s Executive Compensation Recovery policy</w:t>
            </w:r>
          </w:p>
          <w:p w14:paraId="1A2F6414" w14:textId="77777777" w:rsidR="00D246A9" w:rsidRDefault="00D246A9">
            <w:pPr>
              <w:pStyle w:val="NormalWeb"/>
              <w:spacing w:before="0" w:beforeAutospacing="0" w:after="20" w:afterAutospacing="0"/>
              <w:rPr>
                <w:rFonts w:ascii="Arial" w:hAnsi="Arial" w:cs="Arial"/>
              </w:rPr>
            </w:pPr>
            <w:r>
              <w:rPr>
                <w:rFonts w:ascii="Arial" w:hAnsi="Arial" w:cs="Arial"/>
              </w:rPr>
              <w:t> </w:t>
            </w:r>
          </w:p>
        </w:tc>
      </w:tr>
    </w:tbl>
    <w:p w14:paraId="70D604B4" w14:textId="77777777" w:rsidR="00D246A9" w:rsidRPr="00306F7C"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Awards are subject to our Executive Compensation Recovery Policy, described in this Section 6 – Other Compensation Policies and Information – Strong Clawback Policy. </w:t>
      </w:r>
    </w:p>
    <w:p w14:paraId="5D7F661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Executive officers are subject to our executive stock ownership requirements, described in this Section 6 – Other Compensation Policies and Information – Robust Stock Ownership Policy. </w:t>
      </w:r>
    </w:p>
    <w:p w14:paraId="7B7CBEE5" w14:textId="77777777" w:rsidR="00D246A9" w:rsidRDefault="00D246A9">
      <w:pPr>
        <w:pStyle w:val="NormalWeb"/>
        <w:keepNext/>
        <w:spacing w:before="0" w:beforeAutospacing="0" w:after="0" w:afterAutospacing="0"/>
        <w:rPr>
          <w:sz w:val="36"/>
          <w:szCs w:val="36"/>
        </w:rPr>
      </w:pPr>
      <w:r>
        <w:rPr>
          <w:sz w:val="36"/>
          <w:szCs w:val="36"/>
        </w:rPr>
        <w:t> </w:t>
      </w:r>
    </w:p>
    <w:p w14:paraId="7BB45405" w14:textId="77777777" w:rsidR="00D246A9" w:rsidRDefault="00D246A9">
      <w:pPr>
        <w:pStyle w:val="rrdsinglerule"/>
        <w:pBdr>
          <w:top w:val="single" w:sz="6" w:space="0" w:color="0075C9"/>
        </w:pBdr>
        <w:spacing w:before="120"/>
        <w:rPr>
          <w:sz w:val="24"/>
          <w:szCs w:val="24"/>
        </w:rPr>
      </w:pPr>
      <w:r>
        <w:t xml:space="preserve">  </w:t>
      </w:r>
    </w:p>
    <w:p w14:paraId="50083555" w14:textId="77777777" w:rsidR="00D246A9" w:rsidRDefault="00D246A9" w:rsidP="00B4165A">
      <w:pPr>
        <w:pStyle w:val="Heading3"/>
      </w:pPr>
      <w:bookmarkStart w:id="15" w:name="toc356108_16"/>
      <w:bookmarkEnd w:id="15"/>
      <w:r>
        <w:t xml:space="preserve">Compensation Committee Report </w:t>
      </w:r>
    </w:p>
    <w:p w14:paraId="65F2DEE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Compensation Committee has reviewed and discussed with management the Compensation Discussion and Analysis provided above. Based on its review and discussions, the Compensation Committee recommended to the Board of Directors that the Compensation Discussion and Analysis be included in this Proxy Statement. </w:t>
      </w:r>
    </w:p>
    <w:p w14:paraId="315E731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 xml:space="preserve">Compensation Committee </w:t>
      </w:r>
    </w:p>
    <w:p w14:paraId="0F7279D9"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Carlos A Rodriguez (Chair) </w:t>
      </w:r>
    </w:p>
    <w:p w14:paraId="35B945A9"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Sandra E. Peterson </w:t>
      </w:r>
    </w:p>
    <w:p w14:paraId="1FB23758"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Charles W. Scharf </w:t>
      </w:r>
    </w:p>
    <w:p w14:paraId="1301E15F"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Emma N. Walmsley </w:t>
      </w:r>
    </w:p>
    <w:p w14:paraId="4A2FA80B"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Padmasree Warrior </w:t>
      </w:r>
    </w:p>
    <w:p w14:paraId="75D096EF" w14:textId="5E3B43C9" w:rsidR="00B4165A" w:rsidRDefault="00B4165A">
      <w:pPr>
        <w:rPr>
          <w:rFonts w:ascii="Arial" w:hAnsi="Arial" w:cs="Arial"/>
          <w:sz w:val="18"/>
          <w:szCs w:val="18"/>
        </w:rPr>
      </w:pPr>
      <w:r>
        <w:rPr>
          <w:rFonts w:ascii="Arial" w:hAnsi="Arial" w:cs="Arial"/>
          <w:sz w:val="18"/>
          <w:szCs w:val="18"/>
        </w:rPr>
        <w:br w:type="page"/>
      </w:r>
    </w:p>
    <w:p w14:paraId="5B95DBBC" w14:textId="77777777" w:rsidR="00D246A9" w:rsidRDefault="00D246A9" w:rsidP="00B4165A">
      <w:pPr>
        <w:pStyle w:val="Heading3"/>
      </w:pPr>
      <w:bookmarkStart w:id="16" w:name="toc356108_17"/>
      <w:bookmarkEnd w:id="16"/>
      <w:r>
        <w:lastRenderedPageBreak/>
        <w:t xml:space="preserve">Fiscal Year 2023 Compensation Tables </w:t>
      </w:r>
    </w:p>
    <w:p w14:paraId="1F1B9729" w14:textId="77777777" w:rsidR="00D246A9" w:rsidRDefault="00D246A9" w:rsidP="008E18EB">
      <w:pPr>
        <w:pStyle w:val="Heading4"/>
      </w:pPr>
      <w:bookmarkStart w:id="17" w:name="toc356108_18"/>
      <w:bookmarkEnd w:id="17"/>
      <w:r>
        <w:t xml:space="preserve">Summary Compensation Table </w:t>
      </w:r>
    </w:p>
    <w:p w14:paraId="0082CDE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contains information about compensation awarded to our Named Executives for the fiscal years ended June 30, 2023, 2022, and 2021. None of our Named Executives received stock options, or reimbursements for relocation expenses or tax-gross-up payments, during those years. </w:t>
      </w:r>
    </w:p>
    <w:p w14:paraId="3521A767"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2152"/>
        <w:gridCol w:w="624"/>
        <w:gridCol w:w="1104"/>
        <w:gridCol w:w="1104"/>
        <w:gridCol w:w="1204"/>
        <w:gridCol w:w="1644"/>
        <w:gridCol w:w="1644"/>
        <w:gridCol w:w="1324"/>
      </w:tblGrid>
      <w:tr w:rsidR="00D246A9" w14:paraId="2571DD3D" w14:textId="77777777" w:rsidTr="00FE0A0A">
        <w:trPr>
          <w:cantSplit/>
          <w:tblHeader/>
        </w:trPr>
        <w:tc>
          <w:tcPr>
            <w:tcW w:w="2152" w:type="dxa"/>
            <w:tcBorders>
              <w:bottom w:val="single" w:sz="8" w:space="0" w:color="000000"/>
            </w:tcBorders>
            <w:vAlign w:val="bottom"/>
            <w:hideMark/>
          </w:tcPr>
          <w:p w14:paraId="4D18A2C5" w14:textId="77777777" w:rsidR="00D246A9" w:rsidRPr="00306F7C" w:rsidRDefault="00D246A9" w:rsidP="00D87FF2">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Named Executive and</w:t>
            </w:r>
          </w:p>
          <w:p w14:paraId="45293DC0" w14:textId="77777777" w:rsidR="00D246A9" w:rsidRDefault="00D246A9" w:rsidP="00D87FF2">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Principal Position</w:t>
            </w:r>
          </w:p>
        </w:tc>
        <w:tc>
          <w:tcPr>
            <w:tcW w:w="624" w:type="dxa"/>
            <w:tcBorders>
              <w:bottom w:val="single" w:sz="8" w:space="0" w:color="000000"/>
            </w:tcBorders>
            <w:tcMar>
              <w:top w:w="0" w:type="dxa"/>
              <w:left w:w="144" w:type="dxa"/>
              <w:bottom w:w="0" w:type="dxa"/>
              <w:right w:w="0" w:type="dxa"/>
            </w:tcMar>
            <w:vAlign w:val="bottom"/>
            <w:hideMark/>
          </w:tcPr>
          <w:p w14:paraId="5A32D4F3" w14:textId="77777777" w:rsidR="00D246A9" w:rsidRDefault="00D246A9" w:rsidP="00D87FF2">
            <w:pPr>
              <w:jc w:val="right"/>
              <w:rPr>
                <w:rFonts w:ascii="Arial" w:hAnsi="Arial" w:cs="Arial"/>
                <w:sz w:val="18"/>
                <w:szCs w:val="18"/>
              </w:rPr>
            </w:pPr>
            <w:r>
              <w:rPr>
                <w:rFonts w:ascii="Arial" w:hAnsi="Arial" w:cs="Arial"/>
                <w:b/>
                <w:bCs/>
                <w:sz w:val="18"/>
                <w:szCs w:val="18"/>
              </w:rPr>
              <w:t>Year</w:t>
            </w:r>
          </w:p>
        </w:tc>
        <w:tc>
          <w:tcPr>
            <w:tcW w:w="1104" w:type="dxa"/>
            <w:tcBorders>
              <w:bottom w:val="single" w:sz="8" w:space="0" w:color="000000"/>
            </w:tcBorders>
            <w:tcMar>
              <w:top w:w="0" w:type="dxa"/>
              <w:left w:w="144" w:type="dxa"/>
              <w:bottom w:w="0" w:type="dxa"/>
              <w:right w:w="0" w:type="dxa"/>
            </w:tcMar>
            <w:vAlign w:val="bottom"/>
            <w:hideMark/>
          </w:tcPr>
          <w:p w14:paraId="6B206530" w14:textId="77777777" w:rsidR="00D246A9" w:rsidRPr="00306F7C"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Salary</w:t>
            </w:r>
          </w:p>
          <w:p w14:paraId="54D6C664"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1104" w:type="dxa"/>
            <w:tcBorders>
              <w:bottom w:val="single" w:sz="8" w:space="0" w:color="000000"/>
            </w:tcBorders>
            <w:tcMar>
              <w:top w:w="0" w:type="dxa"/>
              <w:left w:w="144" w:type="dxa"/>
              <w:bottom w:w="0" w:type="dxa"/>
              <w:right w:w="0" w:type="dxa"/>
            </w:tcMar>
            <w:vAlign w:val="bottom"/>
            <w:hideMark/>
          </w:tcPr>
          <w:p w14:paraId="4E85D028"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Bonus</w:t>
            </w:r>
            <w:r>
              <w:rPr>
                <w:rFonts w:ascii="Arial" w:hAnsi="Arial" w:cs="Arial"/>
                <w:b/>
                <w:bCs/>
                <w:sz w:val="14"/>
                <w:szCs w:val="14"/>
                <w:vertAlign w:val="superscript"/>
              </w:rPr>
              <w:t>1</w:t>
            </w:r>
          </w:p>
          <w:p w14:paraId="7E8F6299"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1204" w:type="dxa"/>
            <w:tcBorders>
              <w:bottom w:val="single" w:sz="8" w:space="0" w:color="000000"/>
            </w:tcBorders>
            <w:tcMar>
              <w:top w:w="0" w:type="dxa"/>
              <w:left w:w="144" w:type="dxa"/>
              <w:bottom w:w="0" w:type="dxa"/>
              <w:right w:w="0" w:type="dxa"/>
            </w:tcMar>
            <w:vAlign w:val="bottom"/>
            <w:hideMark/>
          </w:tcPr>
          <w:p w14:paraId="5DC68024"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Stock</w:t>
            </w:r>
          </w:p>
          <w:p w14:paraId="232EC8F6"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Awards</w:t>
            </w:r>
            <w:r>
              <w:rPr>
                <w:rFonts w:ascii="Arial" w:hAnsi="Arial" w:cs="Arial"/>
                <w:b/>
                <w:bCs/>
                <w:sz w:val="14"/>
                <w:szCs w:val="14"/>
                <w:vertAlign w:val="superscript"/>
              </w:rPr>
              <w:t>2</w:t>
            </w:r>
          </w:p>
          <w:p w14:paraId="54E03DB6"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1644" w:type="dxa"/>
            <w:tcBorders>
              <w:bottom w:val="single" w:sz="8" w:space="0" w:color="000000"/>
            </w:tcBorders>
            <w:tcMar>
              <w:top w:w="0" w:type="dxa"/>
              <w:left w:w="144" w:type="dxa"/>
              <w:bottom w:w="0" w:type="dxa"/>
              <w:right w:w="0" w:type="dxa"/>
            </w:tcMar>
            <w:vAlign w:val="bottom"/>
            <w:hideMark/>
          </w:tcPr>
          <w:p w14:paraId="39AC5FBC"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Non-equity</w:t>
            </w:r>
          </w:p>
          <w:p w14:paraId="24E1895D"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Incentive Plan</w:t>
            </w:r>
          </w:p>
          <w:p w14:paraId="7B5F74FF"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Compensation</w:t>
            </w:r>
            <w:r>
              <w:rPr>
                <w:rFonts w:ascii="Arial" w:hAnsi="Arial" w:cs="Arial"/>
                <w:b/>
                <w:bCs/>
                <w:sz w:val="14"/>
                <w:szCs w:val="14"/>
                <w:vertAlign w:val="superscript"/>
              </w:rPr>
              <w:t>3</w:t>
            </w:r>
          </w:p>
          <w:p w14:paraId="18184E07"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1644" w:type="dxa"/>
            <w:tcBorders>
              <w:bottom w:val="single" w:sz="8" w:space="0" w:color="000000"/>
            </w:tcBorders>
            <w:tcMar>
              <w:top w:w="0" w:type="dxa"/>
              <w:left w:w="144" w:type="dxa"/>
              <w:bottom w:w="0" w:type="dxa"/>
              <w:right w:w="0" w:type="dxa"/>
            </w:tcMar>
            <w:vAlign w:val="bottom"/>
            <w:hideMark/>
          </w:tcPr>
          <w:p w14:paraId="777631E4"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All Other</w:t>
            </w:r>
          </w:p>
          <w:p w14:paraId="0C64DF62"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Compensation</w:t>
            </w:r>
            <w:r>
              <w:rPr>
                <w:rFonts w:ascii="Arial" w:hAnsi="Arial" w:cs="Arial"/>
                <w:b/>
                <w:bCs/>
                <w:sz w:val="14"/>
                <w:szCs w:val="14"/>
                <w:vertAlign w:val="superscript"/>
              </w:rPr>
              <w:t>4</w:t>
            </w:r>
          </w:p>
          <w:p w14:paraId="14DA6747"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1324" w:type="dxa"/>
            <w:tcBorders>
              <w:bottom w:val="single" w:sz="8" w:space="0" w:color="000000"/>
            </w:tcBorders>
            <w:tcMar>
              <w:top w:w="0" w:type="dxa"/>
              <w:left w:w="144" w:type="dxa"/>
              <w:bottom w:w="0" w:type="dxa"/>
              <w:right w:w="0" w:type="dxa"/>
            </w:tcMar>
            <w:vAlign w:val="bottom"/>
            <w:hideMark/>
          </w:tcPr>
          <w:p w14:paraId="19B8DCDF"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Total</w:t>
            </w:r>
          </w:p>
          <w:p w14:paraId="63FE14D3"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r>
      <w:tr w:rsidR="00D246A9" w14:paraId="414AADC7" w14:textId="77777777" w:rsidTr="00FE0A0A">
        <w:trPr>
          <w:cantSplit/>
        </w:trPr>
        <w:tc>
          <w:tcPr>
            <w:tcW w:w="2152" w:type="dxa"/>
            <w:vMerge w:val="restart"/>
            <w:tcBorders>
              <w:bottom w:val="single" w:sz="6" w:space="0" w:color="0075C9"/>
            </w:tcBorders>
            <w:hideMark/>
          </w:tcPr>
          <w:p w14:paraId="1C4126EF" w14:textId="77777777" w:rsidR="00D246A9" w:rsidRDefault="00D246A9" w:rsidP="00D87FF2">
            <w:pPr>
              <w:pStyle w:val="NormalWeb"/>
              <w:keepNext/>
              <w:spacing w:before="0" w:beforeAutospacing="0" w:after="0" w:afterAutospacing="0"/>
              <w:rPr>
                <w:rFonts w:ascii="Arial" w:hAnsi="Arial" w:cs="Arial"/>
                <w:sz w:val="2"/>
                <w:szCs w:val="2"/>
              </w:rPr>
            </w:pPr>
            <w:r>
              <w:rPr>
                <w:rFonts w:ascii="Arial" w:hAnsi="Arial" w:cs="Arial"/>
                <w:sz w:val="2"/>
                <w:szCs w:val="2"/>
              </w:rPr>
              <w:t> </w:t>
            </w:r>
          </w:p>
          <w:p w14:paraId="0A7F5407" w14:textId="77777777" w:rsidR="00D246A9" w:rsidRDefault="00D246A9" w:rsidP="00D87FF2">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p w14:paraId="51C742AB" w14:textId="77777777" w:rsidR="00D246A9" w:rsidRDefault="00D246A9" w:rsidP="00D87FF2">
            <w:pPr>
              <w:pStyle w:val="NormalWeb"/>
              <w:spacing w:before="0" w:beforeAutospacing="0" w:after="0" w:afterAutospacing="0"/>
              <w:rPr>
                <w:rFonts w:ascii="Arial" w:hAnsi="Arial" w:cs="Arial"/>
                <w:sz w:val="8"/>
                <w:szCs w:val="8"/>
              </w:rPr>
            </w:pPr>
            <w:r>
              <w:rPr>
                <w:rFonts w:ascii="Arial" w:hAnsi="Arial" w:cs="Arial"/>
                <w:sz w:val="8"/>
                <w:szCs w:val="8"/>
              </w:rPr>
              <w:t> </w:t>
            </w:r>
          </w:p>
          <w:p w14:paraId="645587D0"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Chairman and Chief</w:t>
            </w:r>
          </w:p>
          <w:p w14:paraId="404833C5"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Executive Officer</w:t>
            </w:r>
          </w:p>
        </w:tc>
        <w:tc>
          <w:tcPr>
            <w:tcW w:w="624" w:type="dxa"/>
            <w:tcBorders>
              <w:bottom w:val="single" w:sz="6" w:space="0" w:color="595959"/>
            </w:tcBorders>
            <w:noWrap/>
            <w:tcMar>
              <w:top w:w="0" w:type="dxa"/>
              <w:left w:w="144" w:type="dxa"/>
              <w:bottom w:w="0" w:type="dxa"/>
              <w:right w:w="0" w:type="dxa"/>
            </w:tcMar>
            <w:hideMark/>
          </w:tcPr>
          <w:p w14:paraId="2CF6D40D"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2023</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1431B524"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2,500,000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51FEE551"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3AB039F4"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39,236,137</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15AC2434"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6,414,750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07F59B36"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361,650</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7450228F"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48,512,537</w:t>
            </w:r>
            <w:r>
              <w:rPr>
                <w:rFonts w:ascii="Arial" w:hAnsi="Arial" w:cs="Arial"/>
                <w:sz w:val="18"/>
                <w:szCs w:val="18"/>
              </w:rPr>
              <w:tab/>
            </w:r>
          </w:p>
        </w:tc>
      </w:tr>
      <w:tr w:rsidR="00D246A9" w14:paraId="268CD60B" w14:textId="77777777" w:rsidTr="00FE0A0A">
        <w:trPr>
          <w:cantSplit/>
        </w:trPr>
        <w:tc>
          <w:tcPr>
            <w:tcW w:w="2152" w:type="dxa"/>
            <w:vMerge/>
            <w:tcBorders>
              <w:bottom w:val="single" w:sz="6" w:space="0" w:color="0075C9"/>
            </w:tcBorders>
            <w:vAlign w:val="center"/>
            <w:hideMark/>
          </w:tcPr>
          <w:p w14:paraId="68F97F6F" w14:textId="77777777" w:rsidR="00D246A9" w:rsidRPr="00306F7C" w:rsidRDefault="00D246A9" w:rsidP="00D87FF2">
            <w:pPr>
              <w:rPr>
                <w:rFonts w:ascii="Arial" w:hAnsi="Arial" w:cs="Arial"/>
                <w:sz w:val="18"/>
                <w:szCs w:val="18"/>
              </w:rPr>
            </w:pPr>
          </w:p>
        </w:tc>
        <w:tc>
          <w:tcPr>
            <w:tcW w:w="624" w:type="dxa"/>
            <w:tcBorders>
              <w:bottom w:val="single" w:sz="6" w:space="0" w:color="595959"/>
            </w:tcBorders>
            <w:noWrap/>
            <w:tcMar>
              <w:top w:w="0" w:type="dxa"/>
              <w:left w:w="144" w:type="dxa"/>
              <w:bottom w:w="0" w:type="dxa"/>
              <w:right w:w="0" w:type="dxa"/>
            </w:tcMar>
            <w:hideMark/>
          </w:tcPr>
          <w:p w14:paraId="469AC4DA"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2022</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3A7EBEE1"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2,500,000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2B6D95DB"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261ABD6A"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42,269,560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6AE15097"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10,066,500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60DD9CD3"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110,250</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30D6411D"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54,946,310</w:t>
            </w:r>
            <w:r>
              <w:rPr>
                <w:rFonts w:ascii="Arial" w:hAnsi="Arial" w:cs="Arial"/>
                <w:sz w:val="18"/>
                <w:szCs w:val="18"/>
              </w:rPr>
              <w:tab/>
            </w:r>
          </w:p>
        </w:tc>
      </w:tr>
      <w:tr w:rsidR="00D246A9" w14:paraId="1B3759A9" w14:textId="77777777" w:rsidTr="00FE0A0A">
        <w:trPr>
          <w:cantSplit/>
        </w:trPr>
        <w:tc>
          <w:tcPr>
            <w:tcW w:w="2152" w:type="dxa"/>
            <w:vMerge/>
            <w:tcBorders>
              <w:bottom w:val="single" w:sz="6" w:space="0" w:color="0075C9"/>
            </w:tcBorders>
            <w:vAlign w:val="center"/>
            <w:hideMark/>
          </w:tcPr>
          <w:p w14:paraId="03FC3C0A" w14:textId="77777777" w:rsidR="00D246A9" w:rsidRPr="00306F7C" w:rsidRDefault="00D246A9" w:rsidP="00D87FF2">
            <w:pPr>
              <w:rPr>
                <w:rFonts w:ascii="Arial" w:hAnsi="Arial" w:cs="Arial"/>
                <w:sz w:val="18"/>
                <w:szCs w:val="18"/>
              </w:rPr>
            </w:pPr>
          </w:p>
        </w:tc>
        <w:tc>
          <w:tcPr>
            <w:tcW w:w="624" w:type="dxa"/>
            <w:tcBorders>
              <w:bottom w:val="single" w:sz="6" w:space="0" w:color="0075C9"/>
            </w:tcBorders>
            <w:noWrap/>
            <w:tcMar>
              <w:top w:w="0" w:type="dxa"/>
              <w:left w:w="144" w:type="dxa"/>
              <w:bottom w:w="0" w:type="dxa"/>
              <w:right w:w="0" w:type="dxa"/>
            </w:tcMar>
            <w:hideMark/>
          </w:tcPr>
          <w:p w14:paraId="7E980F84"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2021</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2A982A86"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2,500,000</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2AA41BFD"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hideMark/>
          </w:tcPr>
          <w:p w14:paraId="74D2936C"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33,036,030</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4D6E8042"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14,212,500</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233B3EB8"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109,750</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hideMark/>
          </w:tcPr>
          <w:p w14:paraId="32E1CB0C"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49,858,280</w:t>
            </w:r>
            <w:r>
              <w:rPr>
                <w:rFonts w:ascii="Arial" w:hAnsi="Arial" w:cs="Arial"/>
                <w:sz w:val="18"/>
                <w:szCs w:val="18"/>
              </w:rPr>
              <w:tab/>
            </w:r>
          </w:p>
        </w:tc>
      </w:tr>
      <w:tr w:rsidR="00D246A9" w14:paraId="67783D53" w14:textId="77777777" w:rsidTr="00FE0A0A">
        <w:trPr>
          <w:cantSplit/>
        </w:trPr>
        <w:tc>
          <w:tcPr>
            <w:tcW w:w="2152" w:type="dxa"/>
            <w:vMerge w:val="restart"/>
            <w:tcBorders>
              <w:bottom w:val="single" w:sz="6" w:space="0" w:color="0075C9"/>
            </w:tcBorders>
            <w:hideMark/>
          </w:tcPr>
          <w:p w14:paraId="35777B1E" w14:textId="77777777" w:rsidR="00D246A9" w:rsidRDefault="00D246A9" w:rsidP="00D87FF2">
            <w:pPr>
              <w:pStyle w:val="NormalWeb"/>
              <w:spacing w:before="0" w:beforeAutospacing="0" w:after="0" w:afterAutospacing="0"/>
              <w:rPr>
                <w:rFonts w:ascii="Arial" w:hAnsi="Arial" w:cs="Arial"/>
                <w:sz w:val="2"/>
                <w:szCs w:val="2"/>
              </w:rPr>
            </w:pPr>
            <w:r>
              <w:rPr>
                <w:rFonts w:ascii="Arial" w:hAnsi="Arial" w:cs="Arial"/>
                <w:sz w:val="2"/>
                <w:szCs w:val="2"/>
              </w:rPr>
              <w:t> </w:t>
            </w:r>
          </w:p>
          <w:p w14:paraId="43BAF5C1" w14:textId="77777777" w:rsidR="00D246A9" w:rsidRDefault="00D246A9" w:rsidP="00D87FF2">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p w14:paraId="7672CE5E" w14:textId="77777777" w:rsidR="00D246A9" w:rsidRDefault="00D246A9" w:rsidP="00D87FF2">
            <w:pPr>
              <w:pStyle w:val="NormalWeb"/>
              <w:spacing w:before="0" w:beforeAutospacing="0" w:after="0" w:afterAutospacing="0"/>
              <w:rPr>
                <w:rFonts w:ascii="Arial" w:hAnsi="Arial" w:cs="Arial"/>
                <w:sz w:val="8"/>
                <w:szCs w:val="8"/>
              </w:rPr>
            </w:pPr>
            <w:r>
              <w:rPr>
                <w:rFonts w:ascii="Arial" w:hAnsi="Arial" w:cs="Arial"/>
                <w:sz w:val="8"/>
                <w:szCs w:val="8"/>
              </w:rPr>
              <w:t> </w:t>
            </w:r>
          </w:p>
          <w:p w14:paraId="2D63E383"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Executive Vice President and</w:t>
            </w:r>
          </w:p>
          <w:p w14:paraId="6C1BD9B3"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Chief Financial Officer</w:t>
            </w:r>
          </w:p>
        </w:tc>
        <w:tc>
          <w:tcPr>
            <w:tcW w:w="624" w:type="dxa"/>
            <w:tcBorders>
              <w:bottom w:val="single" w:sz="6" w:space="0" w:color="595959"/>
            </w:tcBorders>
            <w:noWrap/>
            <w:tcMar>
              <w:top w:w="0" w:type="dxa"/>
              <w:left w:w="144" w:type="dxa"/>
              <w:bottom w:w="0" w:type="dxa"/>
              <w:right w:w="0" w:type="dxa"/>
            </w:tcMar>
            <w:hideMark/>
          </w:tcPr>
          <w:p w14:paraId="037BA250"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2023</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390E9B53"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1,000,000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006984D7"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6B19DCBB"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16,450,701</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5A35EDB7"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2,295,250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61ED7067"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156,946</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6CFE00F9"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19,902,897</w:t>
            </w:r>
            <w:r>
              <w:rPr>
                <w:rFonts w:ascii="Arial" w:hAnsi="Arial" w:cs="Arial"/>
                <w:sz w:val="18"/>
                <w:szCs w:val="18"/>
              </w:rPr>
              <w:tab/>
            </w:r>
          </w:p>
        </w:tc>
      </w:tr>
      <w:tr w:rsidR="00D246A9" w14:paraId="2F9DE257" w14:textId="77777777" w:rsidTr="00FE0A0A">
        <w:trPr>
          <w:cantSplit/>
        </w:trPr>
        <w:tc>
          <w:tcPr>
            <w:tcW w:w="2152" w:type="dxa"/>
            <w:vMerge/>
            <w:tcBorders>
              <w:bottom w:val="single" w:sz="6" w:space="0" w:color="0075C9"/>
            </w:tcBorders>
            <w:vAlign w:val="center"/>
            <w:hideMark/>
          </w:tcPr>
          <w:p w14:paraId="0AD59683" w14:textId="77777777" w:rsidR="00D246A9" w:rsidRPr="00306F7C" w:rsidRDefault="00D246A9" w:rsidP="00D87FF2">
            <w:pPr>
              <w:rPr>
                <w:rFonts w:ascii="Arial" w:hAnsi="Arial" w:cs="Arial"/>
                <w:sz w:val="18"/>
                <w:szCs w:val="18"/>
              </w:rPr>
            </w:pPr>
          </w:p>
        </w:tc>
        <w:tc>
          <w:tcPr>
            <w:tcW w:w="624" w:type="dxa"/>
            <w:tcBorders>
              <w:bottom w:val="single" w:sz="6" w:space="0" w:color="595959"/>
            </w:tcBorders>
            <w:noWrap/>
            <w:tcMar>
              <w:top w:w="0" w:type="dxa"/>
              <w:left w:w="144" w:type="dxa"/>
              <w:bottom w:w="0" w:type="dxa"/>
              <w:right w:w="0" w:type="dxa"/>
            </w:tcMar>
            <w:hideMark/>
          </w:tcPr>
          <w:p w14:paraId="3EFBCEA5"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2022</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5D336C7A"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1,000,000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18D56AAD"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4E6A26F8"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21,681,666</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5965D3CE"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3,575,500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327B6C44"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62,415</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43F52BCB"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26,319,581</w:t>
            </w:r>
            <w:r>
              <w:rPr>
                <w:rFonts w:ascii="Arial" w:hAnsi="Arial" w:cs="Arial"/>
                <w:sz w:val="18"/>
                <w:szCs w:val="18"/>
              </w:rPr>
              <w:tab/>
            </w:r>
          </w:p>
        </w:tc>
      </w:tr>
      <w:tr w:rsidR="00D246A9" w14:paraId="2325CB66" w14:textId="77777777" w:rsidTr="00FE0A0A">
        <w:trPr>
          <w:cantSplit/>
        </w:trPr>
        <w:tc>
          <w:tcPr>
            <w:tcW w:w="2152" w:type="dxa"/>
            <w:vMerge/>
            <w:tcBorders>
              <w:bottom w:val="single" w:sz="6" w:space="0" w:color="0075C9"/>
            </w:tcBorders>
            <w:vAlign w:val="center"/>
            <w:hideMark/>
          </w:tcPr>
          <w:p w14:paraId="5700E40B" w14:textId="77777777" w:rsidR="00D246A9" w:rsidRPr="00306F7C" w:rsidRDefault="00D246A9" w:rsidP="00D87FF2">
            <w:pPr>
              <w:rPr>
                <w:rFonts w:ascii="Arial" w:hAnsi="Arial" w:cs="Arial"/>
                <w:sz w:val="18"/>
                <w:szCs w:val="18"/>
              </w:rPr>
            </w:pPr>
          </w:p>
        </w:tc>
        <w:tc>
          <w:tcPr>
            <w:tcW w:w="624" w:type="dxa"/>
            <w:tcBorders>
              <w:bottom w:val="single" w:sz="6" w:space="0" w:color="0075C9"/>
            </w:tcBorders>
            <w:noWrap/>
            <w:tcMar>
              <w:top w:w="0" w:type="dxa"/>
              <w:left w:w="144" w:type="dxa"/>
              <w:bottom w:w="0" w:type="dxa"/>
              <w:right w:w="0" w:type="dxa"/>
            </w:tcMar>
            <w:hideMark/>
          </w:tcPr>
          <w:p w14:paraId="58395BED"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2021</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2B887C73"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995,833</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2E1B0A17"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hideMark/>
          </w:tcPr>
          <w:p w14:paraId="5E5EE4AD"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17,864,404</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7977B642"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4,543,490</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0097F406"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62,414</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hideMark/>
          </w:tcPr>
          <w:p w14:paraId="607928F9"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23,466,141</w:t>
            </w:r>
            <w:r>
              <w:rPr>
                <w:rFonts w:ascii="Arial" w:hAnsi="Arial" w:cs="Arial"/>
                <w:sz w:val="18"/>
                <w:szCs w:val="18"/>
              </w:rPr>
              <w:tab/>
            </w:r>
          </w:p>
        </w:tc>
      </w:tr>
      <w:tr w:rsidR="00D246A9" w14:paraId="4FA4F932" w14:textId="77777777" w:rsidTr="00FE0A0A">
        <w:trPr>
          <w:cantSplit/>
        </w:trPr>
        <w:tc>
          <w:tcPr>
            <w:tcW w:w="2152" w:type="dxa"/>
            <w:vMerge w:val="restart"/>
            <w:tcBorders>
              <w:bottom w:val="single" w:sz="6" w:space="0" w:color="0075C9"/>
            </w:tcBorders>
            <w:hideMark/>
          </w:tcPr>
          <w:p w14:paraId="7BF8DF6B" w14:textId="77777777" w:rsidR="00D246A9" w:rsidRDefault="00D246A9" w:rsidP="00D87FF2">
            <w:pPr>
              <w:pStyle w:val="NormalWeb"/>
              <w:spacing w:before="0" w:beforeAutospacing="0" w:after="0" w:afterAutospacing="0"/>
              <w:rPr>
                <w:rFonts w:ascii="Arial" w:hAnsi="Arial" w:cs="Arial"/>
                <w:sz w:val="2"/>
                <w:szCs w:val="2"/>
              </w:rPr>
            </w:pPr>
            <w:r>
              <w:rPr>
                <w:rFonts w:ascii="Arial" w:hAnsi="Arial" w:cs="Arial"/>
                <w:sz w:val="2"/>
                <w:szCs w:val="2"/>
              </w:rPr>
              <w:t> </w:t>
            </w:r>
          </w:p>
          <w:p w14:paraId="15A00422" w14:textId="77777777" w:rsidR="00D246A9" w:rsidRDefault="00D246A9" w:rsidP="00D87FF2">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p w14:paraId="36CB545C" w14:textId="77777777" w:rsidR="00D246A9" w:rsidRDefault="00D246A9" w:rsidP="00D87FF2">
            <w:pPr>
              <w:pStyle w:val="NormalWeb"/>
              <w:spacing w:before="0" w:beforeAutospacing="0" w:after="0" w:afterAutospacing="0"/>
              <w:rPr>
                <w:rFonts w:ascii="Arial" w:hAnsi="Arial" w:cs="Arial"/>
                <w:sz w:val="8"/>
                <w:szCs w:val="8"/>
              </w:rPr>
            </w:pPr>
            <w:r>
              <w:rPr>
                <w:rFonts w:ascii="Arial" w:hAnsi="Arial" w:cs="Arial"/>
                <w:sz w:val="8"/>
                <w:szCs w:val="8"/>
              </w:rPr>
              <w:t> </w:t>
            </w:r>
          </w:p>
          <w:p w14:paraId="31701641"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 xml:space="preserve">Executive Vice President and </w:t>
            </w:r>
            <w:r>
              <w:rPr>
                <w:rFonts w:ascii="Arial" w:hAnsi="Arial" w:cs="Arial"/>
                <w:i/>
                <w:iCs/>
                <w:sz w:val="18"/>
                <w:szCs w:val="18"/>
              </w:rPr>
              <w:br/>
              <w:t>Chief Commercial Officer</w:t>
            </w:r>
          </w:p>
        </w:tc>
        <w:tc>
          <w:tcPr>
            <w:tcW w:w="624" w:type="dxa"/>
            <w:tcBorders>
              <w:bottom w:val="single" w:sz="6" w:space="0" w:color="595959"/>
            </w:tcBorders>
            <w:noWrap/>
            <w:tcMar>
              <w:top w:w="0" w:type="dxa"/>
              <w:left w:w="144" w:type="dxa"/>
              <w:bottom w:w="0" w:type="dxa"/>
              <w:right w:w="0" w:type="dxa"/>
            </w:tcMar>
            <w:hideMark/>
          </w:tcPr>
          <w:p w14:paraId="3412845F"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2023</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456CF24C"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960,000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7F9839E1"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0DF158A3"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12,848,921</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7EE22E44"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2,243,520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4615EABA"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152,277</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51DABD82"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16,204,718</w:t>
            </w:r>
            <w:r>
              <w:rPr>
                <w:rFonts w:ascii="Arial" w:hAnsi="Arial" w:cs="Arial"/>
                <w:sz w:val="18"/>
                <w:szCs w:val="18"/>
              </w:rPr>
              <w:tab/>
            </w:r>
          </w:p>
        </w:tc>
      </w:tr>
      <w:tr w:rsidR="00D246A9" w14:paraId="318DC93A" w14:textId="77777777" w:rsidTr="00FE0A0A">
        <w:trPr>
          <w:cantSplit/>
        </w:trPr>
        <w:tc>
          <w:tcPr>
            <w:tcW w:w="2152" w:type="dxa"/>
            <w:vMerge/>
            <w:tcBorders>
              <w:bottom w:val="single" w:sz="6" w:space="0" w:color="0075C9"/>
            </w:tcBorders>
            <w:vAlign w:val="center"/>
            <w:hideMark/>
          </w:tcPr>
          <w:p w14:paraId="06F8CC42" w14:textId="77777777" w:rsidR="00D246A9" w:rsidRPr="00306F7C" w:rsidRDefault="00D246A9" w:rsidP="00D87FF2">
            <w:pPr>
              <w:rPr>
                <w:rFonts w:ascii="Arial" w:hAnsi="Arial" w:cs="Arial"/>
                <w:sz w:val="18"/>
                <w:szCs w:val="18"/>
              </w:rPr>
            </w:pPr>
          </w:p>
        </w:tc>
        <w:tc>
          <w:tcPr>
            <w:tcW w:w="624" w:type="dxa"/>
            <w:tcBorders>
              <w:bottom w:val="single" w:sz="6" w:space="0" w:color="0075C9"/>
            </w:tcBorders>
            <w:noWrap/>
            <w:tcMar>
              <w:top w:w="0" w:type="dxa"/>
              <w:left w:w="144" w:type="dxa"/>
              <w:bottom w:w="0" w:type="dxa"/>
              <w:right w:w="0" w:type="dxa"/>
            </w:tcMar>
            <w:hideMark/>
          </w:tcPr>
          <w:p w14:paraId="11C0B255" w14:textId="77777777" w:rsidR="00D246A9" w:rsidRDefault="00D246A9" w:rsidP="00D87FF2">
            <w:pPr>
              <w:pStyle w:val="NormalWeb"/>
              <w:tabs>
                <w:tab w:val="right" w:pos="440"/>
                <w:tab w:val="decimal" w:pos="480"/>
              </w:tabs>
              <w:spacing w:before="0" w:beforeAutospacing="0" w:after="0" w:afterAutospacing="0"/>
              <w:rPr>
                <w:rFonts w:ascii="Arial" w:hAnsi="Arial" w:cs="Arial"/>
                <w:sz w:val="18"/>
                <w:szCs w:val="18"/>
              </w:rPr>
            </w:pPr>
            <w:r>
              <w:rPr>
                <w:rFonts w:ascii="Arial" w:hAnsi="Arial" w:cs="Arial"/>
                <w:sz w:val="18"/>
                <w:szCs w:val="18"/>
              </w:rPr>
              <w:tab/>
              <w:t>2022</w:t>
            </w:r>
            <w:r>
              <w:rPr>
                <w:rFonts w:ascii="Arial" w:hAnsi="Arial" w:cs="Arial"/>
                <w:sz w:val="18"/>
                <w:szCs w:val="18"/>
              </w:rPr>
              <w:tab/>
            </w:r>
          </w:p>
          <w:p w14:paraId="28861CC1" w14:textId="77777777" w:rsidR="00D246A9" w:rsidRDefault="00D246A9" w:rsidP="00D87FF2">
            <w:pPr>
              <w:pStyle w:val="NormalWeb"/>
              <w:spacing w:before="0" w:beforeAutospacing="0" w:after="0" w:afterAutospacing="0"/>
              <w:rPr>
                <w:rFonts w:ascii="Arial" w:hAnsi="Arial" w:cs="Arial"/>
                <w:sz w:val="16"/>
                <w:szCs w:val="16"/>
              </w:rPr>
            </w:pPr>
            <w:r>
              <w:rPr>
                <w:rFonts w:ascii="Arial" w:hAnsi="Arial" w:cs="Arial"/>
                <w:sz w:val="16"/>
                <w:szCs w:val="16"/>
              </w:rPr>
              <w:t> </w:t>
            </w:r>
          </w:p>
        </w:tc>
        <w:tc>
          <w:tcPr>
            <w:tcW w:w="1104" w:type="dxa"/>
            <w:tcBorders>
              <w:bottom w:val="single" w:sz="6" w:space="0" w:color="0075C9"/>
            </w:tcBorders>
            <w:noWrap/>
            <w:tcMar>
              <w:top w:w="0" w:type="dxa"/>
              <w:left w:w="144" w:type="dxa"/>
              <w:bottom w:w="0" w:type="dxa"/>
              <w:right w:w="0" w:type="dxa"/>
            </w:tcMar>
            <w:hideMark/>
          </w:tcPr>
          <w:p w14:paraId="3C09E298" w14:textId="77777777" w:rsidR="00D246A9" w:rsidRDefault="00D246A9" w:rsidP="00D87FF2">
            <w:pPr>
              <w:pStyle w:val="NormalWeb"/>
              <w:tabs>
                <w:tab w:val="right" w:pos="920"/>
                <w:tab w:val="decimal" w:pos="960"/>
              </w:tabs>
              <w:spacing w:before="0" w:beforeAutospacing="0" w:after="0" w:afterAutospacing="0"/>
              <w:rPr>
                <w:rFonts w:ascii="Arial" w:hAnsi="Arial" w:cs="Arial"/>
                <w:sz w:val="18"/>
                <w:szCs w:val="18"/>
              </w:rPr>
            </w:pPr>
            <w:r>
              <w:rPr>
                <w:rFonts w:ascii="Arial" w:hAnsi="Arial" w:cs="Arial"/>
                <w:sz w:val="18"/>
                <w:szCs w:val="18"/>
              </w:rPr>
              <w:tab/>
              <w:t>960,000</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6246A9D3" w14:textId="77777777" w:rsidR="00D246A9" w:rsidRDefault="00D246A9" w:rsidP="00D87FF2">
            <w:pPr>
              <w:pStyle w:val="NormalWeb"/>
              <w:tabs>
                <w:tab w:val="right" w:pos="920"/>
                <w:tab w:val="decimal" w:pos="96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hideMark/>
          </w:tcPr>
          <w:p w14:paraId="4BEDDDDE"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14,420,730</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7F655BCC"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8"/>
                <w:szCs w:val="18"/>
              </w:rPr>
            </w:pPr>
            <w:r>
              <w:rPr>
                <w:rFonts w:ascii="Arial" w:hAnsi="Arial" w:cs="Arial"/>
                <w:sz w:val="18"/>
                <w:szCs w:val="18"/>
              </w:rPr>
              <w:tab/>
              <w:t>3,412,560</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6E7F8C41"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8"/>
                <w:szCs w:val="18"/>
              </w:rPr>
            </w:pPr>
            <w:r>
              <w:rPr>
                <w:rFonts w:ascii="Arial" w:hAnsi="Arial" w:cs="Arial"/>
                <w:sz w:val="18"/>
                <w:szCs w:val="18"/>
              </w:rPr>
              <w:tab/>
              <w:t>55,708</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hideMark/>
          </w:tcPr>
          <w:p w14:paraId="2E34903A" w14:textId="77777777" w:rsidR="00D246A9" w:rsidRDefault="00D246A9" w:rsidP="00D87FF2">
            <w:pPr>
              <w:pStyle w:val="NormalWeb"/>
              <w:tabs>
                <w:tab w:val="right" w:pos="1140"/>
                <w:tab w:val="decimal" w:pos="1180"/>
              </w:tabs>
              <w:spacing w:before="0" w:beforeAutospacing="0" w:after="0" w:afterAutospacing="0"/>
              <w:rPr>
                <w:rFonts w:ascii="Arial" w:hAnsi="Arial" w:cs="Arial"/>
                <w:sz w:val="18"/>
                <w:szCs w:val="18"/>
              </w:rPr>
            </w:pPr>
            <w:r>
              <w:rPr>
                <w:rFonts w:ascii="Arial" w:hAnsi="Arial" w:cs="Arial"/>
                <w:sz w:val="18"/>
                <w:szCs w:val="18"/>
              </w:rPr>
              <w:tab/>
              <w:t>18,848,998</w:t>
            </w:r>
            <w:r>
              <w:rPr>
                <w:rFonts w:ascii="Arial" w:hAnsi="Arial" w:cs="Arial"/>
                <w:sz w:val="18"/>
                <w:szCs w:val="18"/>
              </w:rPr>
              <w:tab/>
            </w:r>
          </w:p>
        </w:tc>
      </w:tr>
      <w:tr w:rsidR="00D246A9" w14:paraId="4C95C1F1" w14:textId="77777777" w:rsidTr="00FE0A0A">
        <w:trPr>
          <w:cantSplit/>
        </w:trPr>
        <w:tc>
          <w:tcPr>
            <w:tcW w:w="2152" w:type="dxa"/>
            <w:vMerge w:val="restart"/>
            <w:tcBorders>
              <w:bottom w:val="single" w:sz="6" w:space="0" w:color="0075C9"/>
            </w:tcBorders>
            <w:hideMark/>
          </w:tcPr>
          <w:p w14:paraId="276D8CD7" w14:textId="77777777" w:rsidR="00D246A9" w:rsidRDefault="00D246A9" w:rsidP="00D87FF2">
            <w:pPr>
              <w:pStyle w:val="NormalWeb"/>
              <w:spacing w:before="0" w:beforeAutospacing="0" w:after="0" w:afterAutospacing="0"/>
              <w:rPr>
                <w:rFonts w:ascii="Arial" w:hAnsi="Arial" w:cs="Arial"/>
                <w:sz w:val="2"/>
                <w:szCs w:val="2"/>
              </w:rPr>
            </w:pPr>
            <w:r>
              <w:rPr>
                <w:rFonts w:ascii="Arial" w:hAnsi="Arial" w:cs="Arial"/>
                <w:sz w:val="2"/>
                <w:szCs w:val="2"/>
              </w:rPr>
              <w:t> </w:t>
            </w:r>
          </w:p>
          <w:p w14:paraId="30C0D49F" w14:textId="77777777" w:rsidR="00D246A9" w:rsidRDefault="00D246A9" w:rsidP="00D87FF2">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p w14:paraId="70A99A4C" w14:textId="77777777" w:rsidR="00D246A9" w:rsidRDefault="00D246A9" w:rsidP="00D87FF2">
            <w:pPr>
              <w:pStyle w:val="NormalWeb"/>
              <w:spacing w:before="0" w:beforeAutospacing="0" w:after="0" w:afterAutospacing="0"/>
              <w:rPr>
                <w:rFonts w:ascii="Arial" w:hAnsi="Arial" w:cs="Arial"/>
                <w:sz w:val="8"/>
                <w:szCs w:val="8"/>
              </w:rPr>
            </w:pPr>
            <w:r>
              <w:rPr>
                <w:rFonts w:ascii="Arial" w:hAnsi="Arial" w:cs="Arial"/>
                <w:sz w:val="8"/>
                <w:szCs w:val="8"/>
              </w:rPr>
              <w:t> </w:t>
            </w:r>
          </w:p>
          <w:p w14:paraId="35913AD7"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Vice Chair and President</w:t>
            </w:r>
          </w:p>
        </w:tc>
        <w:tc>
          <w:tcPr>
            <w:tcW w:w="624" w:type="dxa"/>
            <w:tcBorders>
              <w:bottom w:val="single" w:sz="6" w:space="0" w:color="595959"/>
            </w:tcBorders>
            <w:noWrap/>
            <w:tcMar>
              <w:top w:w="0" w:type="dxa"/>
              <w:left w:w="144" w:type="dxa"/>
              <w:bottom w:w="0" w:type="dxa"/>
              <w:right w:w="0" w:type="dxa"/>
            </w:tcMar>
            <w:hideMark/>
          </w:tcPr>
          <w:p w14:paraId="1F8B0CDE"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2023</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3479746B"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1,000,000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3274098F"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289F80E0"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14,524,413</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0A1FE79F"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2,378,500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050574DD"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212,777</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3D60FB4E"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18,115,690</w:t>
            </w:r>
            <w:r>
              <w:rPr>
                <w:rFonts w:ascii="Arial" w:hAnsi="Arial" w:cs="Arial"/>
                <w:sz w:val="18"/>
                <w:szCs w:val="18"/>
              </w:rPr>
              <w:tab/>
            </w:r>
          </w:p>
        </w:tc>
      </w:tr>
      <w:tr w:rsidR="00D246A9" w14:paraId="00B62E42" w14:textId="77777777" w:rsidTr="00FE0A0A">
        <w:trPr>
          <w:cantSplit/>
        </w:trPr>
        <w:tc>
          <w:tcPr>
            <w:tcW w:w="2152" w:type="dxa"/>
            <w:vMerge/>
            <w:tcBorders>
              <w:bottom w:val="single" w:sz="6" w:space="0" w:color="0075C9"/>
            </w:tcBorders>
            <w:vAlign w:val="center"/>
            <w:hideMark/>
          </w:tcPr>
          <w:p w14:paraId="283E15E4" w14:textId="77777777" w:rsidR="00D246A9" w:rsidRPr="00306F7C" w:rsidRDefault="00D246A9" w:rsidP="00D87FF2">
            <w:pPr>
              <w:rPr>
                <w:rFonts w:ascii="Arial" w:hAnsi="Arial" w:cs="Arial"/>
                <w:sz w:val="18"/>
                <w:szCs w:val="18"/>
              </w:rPr>
            </w:pPr>
          </w:p>
        </w:tc>
        <w:tc>
          <w:tcPr>
            <w:tcW w:w="624" w:type="dxa"/>
            <w:tcBorders>
              <w:bottom w:val="single" w:sz="6" w:space="0" w:color="595959"/>
            </w:tcBorders>
            <w:noWrap/>
            <w:tcMar>
              <w:top w:w="0" w:type="dxa"/>
              <w:left w:w="144" w:type="dxa"/>
              <w:bottom w:w="0" w:type="dxa"/>
              <w:right w:w="0" w:type="dxa"/>
            </w:tcMar>
            <w:hideMark/>
          </w:tcPr>
          <w:p w14:paraId="70DA8F69"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2022</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0BBCA935"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993,333</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5FB405AF"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184AE397"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18,753,465</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0C09E99B"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3,551,664</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7353994D"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110,277</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692D0F70"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23,408,739</w:t>
            </w:r>
            <w:r>
              <w:rPr>
                <w:rFonts w:ascii="Arial" w:hAnsi="Arial" w:cs="Arial"/>
                <w:sz w:val="18"/>
                <w:szCs w:val="18"/>
              </w:rPr>
              <w:tab/>
            </w:r>
          </w:p>
        </w:tc>
      </w:tr>
      <w:tr w:rsidR="00D246A9" w14:paraId="1ADA1ADA" w14:textId="77777777" w:rsidTr="00FE0A0A">
        <w:trPr>
          <w:cantSplit/>
        </w:trPr>
        <w:tc>
          <w:tcPr>
            <w:tcW w:w="2152" w:type="dxa"/>
            <w:vMerge/>
            <w:tcBorders>
              <w:bottom w:val="single" w:sz="6" w:space="0" w:color="0075C9"/>
            </w:tcBorders>
            <w:vAlign w:val="center"/>
            <w:hideMark/>
          </w:tcPr>
          <w:p w14:paraId="68194309" w14:textId="77777777" w:rsidR="00D246A9" w:rsidRPr="00306F7C" w:rsidRDefault="00D246A9" w:rsidP="00D87FF2">
            <w:pPr>
              <w:rPr>
                <w:rFonts w:ascii="Arial" w:hAnsi="Arial" w:cs="Arial"/>
                <w:sz w:val="18"/>
                <w:szCs w:val="18"/>
              </w:rPr>
            </w:pPr>
          </w:p>
        </w:tc>
        <w:tc>
          <w:tcPr>
            <w:tcW w:w="624" w:type="dxa"/>
            <w:tcBorders>
              <w:bottom w:val="single" w:sz="6" w:space="0" w:color="0075C9"/>
            </w:tcBorders>
            <w:noWrap/>
            <w:tcMar>
              <w:top w:w="0" w:type="dxa"/>
              <w:left w:w="144" w:type="dxa"/>
              <w:bottom w:w="0" w:type="dxa"/>
              <w:right w:w="0" w:type="dxa"/>
            </w:tcMar>
            <w:hideMark/>
          </w:tcPr>
          <w:p w14:paraId="2C2D9ECB"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2021</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6D318D9D"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943,333</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21129EE6"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hideMark/>
          </w:tcPr>
          <w:p w14:paraId="62668F88"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15,098,855</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139D342B"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4,303,958</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10E70E58"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109,750</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hideMark/>
          </w:tcPr>
          <w:p w14:paraId="0B1E0CB4"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20,455,896</w:t>
            </w:r>
            <w:r>
              <w:rPr>
                <w:rFonts w:ascii="Arial" w:hAnsi="Arial" w:cs="Arial"/>
                <w:sz w:val="18"/>
                <w:szCs w:val="18"/>
              </w:rPr>
              <w:tab/>
            </w:r>
          </w:p>
        </w:tc>
      </w:tr>
      <w:tr w:rsidR="00D246A9" w14:paraId="5BF6B5CB" w14:textId="77777777" w:rsidTr="00FE0A0A">
        <w:trPr>
          <w:cantSplit/>
        </w:trPr>
        <w:tc>
          <w:tcPr>
            <w:tcW w:w="2152" w:type="dxa"/>
            <w:vMerge w:val="restart"/>
            <w:tcBorders>
              <w:bottom w:val="single" w:sz="6" w:space="0" w:color="0075C9"/>
            </w:tcBorders>
            <w:hideMark/>
          </w:tcPr>
          <w:p w14:paraId="3C44DF48" w14:textId="77777777" w:rsidR="00D246A9" w:rsidRDefault="00D246A9" w:rsidP="00D87FF2">
            <w:pPr>
              <w:pStyle w:val="NormalWeb"/>
              <w:spacing w:before="0" w:beforeAutospacing="0" w:after="0" w:afterAutospacing="0"/>
              <w:rPr>
                <w:rFonts w:ascii="Arial" w:hAnsi="Arial" w:cs="Arial"/>
                <w:sz w:val="2"/>
                <w:szCs w:val="2"/>
              </w:rPr>
            </w:pPr>
            <w:r>
              <w:rPr>
                <w:rFonts w:ascii="Arial" w:hAnsi="Arial" w:cs="Arial"/>
                <w:sz w:val="2"/>
                <w:szCs w:val="2"/>
              </w:rPr>
              <w:t> </w:t>
            </w:r>
          </w:p>
          <w:p w14:paraId="3936AEF0" w14:textId="77777777" w:rsidR="00D246A9" w:rsidRDefault="00D246A9" w:rsidP="00D87FF2">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r>
              <w:rPr>
                <w:rFonts w:ascii="Arial" w:hAnsi="Arial" w:cs="Arial"/>
                <w:color w:val="0075C9"/>
                <w:sz w:val="14"/>
                <w:szCs w:val="14"/>
                <w:vertAlign w:val="superscript"/>
              </w:rPr>
              <w:t>5</w:t>
            </w:r>
          </w:p>
          <w:p w14:paraId="01E2089B"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Executive Vice President,</w:t>
            </w:r>
          </w:p>
          <w:p w14:paraId="5770C67F"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Business Development,</w:t>
            </w:r>
          </w:p>
          <w:p w14:paraId="1C7BEC14"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Strategy, and Ventures</w:t>
            </w:r>
          </w:p>
          <w:p w14:paraId="591C81FF" w14:textId="77777777" w:rsidR="00D246A9" w:rsidRDefault="00D246A9" w:rsidP="00D87FF2">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624" w:type="dxa"/>
            <w:tcBorders>
              <w:bottom w:val="single" w:sz="6" w:space="0" w:color="595959"/>
            </w:tcBorders>
            <w:noWrap/>
            <w:tcMar>
              <w:top w:w="0" w:type="dxa"/>
              <w:left w:w="144" w:type="dxa"/>
              <w:bottom w:w="0" w:type="dxa"/>
              <w:right w:w="0" w:type="dxa"/>
            </w:tcMar>
            <w:hideMark/>
          </w:tcPr>
          <w:p w14:paraId="35B3FF76"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2023</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555C13F4"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850,000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4876596C"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7F515FA5"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7,355,407</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6FCF2DDB"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1,447,380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7A1F2091"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163,127</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17315E2E"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9,815,914</w:t>
            </w:r>
            <w:r>
              <w:rPr>
                <w:rFonts w:ascii="Arial" w:hAnsi="Arial" w:cs="Arial"/>
                <w:sz w:val="18"/>
                <w:szCs w:val="18"/>
              </w:rPr>
              <w:tab/>
            </w:r>
          </w:p>
        </w:tc>
      </w:tr>
      <w:tr w:rsidR="00D246A9" w14:paraId="5E9FCE54" w14:textId="77777777" w:rsidTr="00FE0A0A">
        <w:trPr>
          <w:cantSplit/>
        </w:trPr>
        <w:tc>
          <w:tcPr>
            <w:tcW w:w="2152" w:type="dxa"/>
            <w:vMerge/>
            <w:tcBorders>
              <w:bottom w:val="single" w:sz="6" w:space="0" w:color="0075C9"/>
            </w:tcBorders>
            <w:vAlign w:val="center"/>
            <w:hideMark/>
          </w:tcPr>
          <w:p w14:paraId="22A91799" w14:textId="77777777" w:rsidR="00D246A9" w:rsidRPr="00306F7C" w:rsidRDefault="00D246A9" w:rsidP="00D87FF2">
            <w:pPr>
              <w:rPr>
                <w:rFonts w:ascii="Arial" w:hAnsi="Arial" w:cs="Arial"/>
                <w:sz w:val="8"/>
                <w:szCs w:val="8"/>
              </w:rPr>
            </w:pPr>
          </w:p>
        </w:tc>
        <w:tc>
          <w:tcPr>
            <w:tcW w:w="624" w:type="dxa"/>
            <w:tcBorders>
              <w:bottom w:val="single" w:sz="6" w:space="0" w:color="595959"/>
            </w:tcBorders>
            <w:noWrap/>
            <w:tcMar>
              <w:top w:w="0" w:type="dxa"/>
              <w:left w:w="144" w:type="dxa"/>
              <w:bottom w:w="0" w:type="dxa"/>
              <w:right w:w="0" w:type="dxa"/>
            </w:tcMar>
            <w:hideMark/>
          </w:tcPr>
          <w:p w14:paraId="4BFAFCCF"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2022</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76C15BD3"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850,000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72ECAA8E"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1,500,000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7C5801FE"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7,131,582</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57516994"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2,133,840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694C39CA"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105,036</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2C51F138"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11,720,458</w:t>
            </w:r>
            <w:r>
              <w:rPr>
                <w:rFonts w:ascii="Arial" w:hAnsi="Arial" w:cs="Arial"/>
                <w:sz w:val="18"/>
                <w:szCs w:val="18"/>
              </w:rPr>
              <w:tab/>
            </w:r>
          </w:p>
        </w:tc>
      </w:tr>
      <w:tr w:rsidR="00D246A9" w14:paraId="3A22BE56" w14:textId="77777777" w:rsidTr="00FE0A0A">
        <w:trPr>
          <w:cantSplit/>
        </w:trPr>
        <w:tc>
          <w:tcPr>
            <w:tcW w:w="2152" w:type="dxa"/>
            <w:vMerge/>
            <w:tcBorders>
              <w:bottom w:val="single" w:sz="6" w:space="0" w:color="0075C9"/>
            </w:tcBorders>
            <w:vAlign w:val="center"/>
            <w:hideMark/>
          </w:tcPr>
          <w:p w14:paraId="33BB5651" w14:textId="77777777" w:rsidR="00D246A9" w:rsidRPr="00306F7C" w:rsidRDefault="00D246A9" w:rsidP="00D87FF2">
            <w:pPr>
              <w:rPr>
                <w:rFonts w:ascii="Arial" w:hAnsi="Arial" w:cs="Arial"/>
                <w:sz w:val="8"/>
                <w:szCs w:val="8"/>
              </w:rPr>
            </w:pPr>
          </w:p>
        </w:tc>
        <w:tc>
          <w:tcPr>
            <w:tcW w:w="624" w:type="dxa"/>
            <w:tcBorders>
              <w:bottom w:val="single" w:sz="6" w:space="0" w:color="0075C9"/>
            </w:tcBorders>
            <w:noWrap/>
            <w:tcMar>
              <w:top w:w="0" w:type="dxa"/>
              <w:left w:w="144" w:type="dxa"/>
              <w:bottom w:w="0" w:type="dxa"/>
              <w:right w:w="0" w:type="dxa"/>
            </w:tcMar>
            <w:hideMark/>
          </w:tcPr>
          <w:p w14:paraId="34EB272F"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2021</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3C4B1409"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541,875</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274C6E92"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3,500,000</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hideMark/>
          </w:tcPr>
          <w:p w14:paraId="3A3A8D96"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22,594,634</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73569652"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1,788,188</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5BD1B808"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70,386</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hideMark/>
          </w:tcPr>
          <w:p w14:paraId="178DE8A5"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28,495,083</w:t>
            </w:r>
            <w:r>
              <w:rPr>
                <w:rFonts w:ascii="Arial" w:hAnsi="Arial" w:cs="Arial"/>
                <w:sz w:val="18"/>
                <w:szCs w:val="18"/>
              </w:rPr>
              <w:tab/>
            </w:r>
          </w:p>
        </w:tc>
      </w:tr>
    </w:tbl>
    <w:p w14:paraId="61ECAC27"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Includes installments of on-hire bonus payable to Mr. Young in fiscal years 2022 and 2021. </w:t>
      </w:r>
    </w:p>
    <w:p w14:paraId="4F9535E0"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Includes the grant date fair values for SAs and PSAs calculated in accordance with Financial Accounting Standards Board (“FASB”) Accounting Standards Codification (“ASC”) Topic 718 based on the market price of the shares subject to the award on the date of grant. The value of SAs is reduced by the present value of estimated future dividends because dividends are not paid on SA shares </w:t>
      </w:r>
      <w:proofErr w:type="gramStart"/>
      <w:r>
        <w:rPr>
          <w:rFonts w:ascii="Arial" w:hAnsi="Arial" w:cs="Arial"/>
          <w:sz w:val="14"/>
          <w:szCs w:val="14"/>
        </w:rPr>
        <w:t>until</w:t>
      </w:r>
      <w:proofErr w:type="gramEnd"/>
      <w:r>
        <w:rPr>
          <w:rFonts w:ascii="Arial" w:hAnsi="Arial" w:cs="Arial"/>
          <w:sz w:val="14"/>
          <w:szCs w:val="14"/>
        </w:rPr>
        <w:t xml:space="preserve"> vesting. The value of PSAs is calculated using a Monte-Carlo simulation valuation performed as of the date of grant by an independent third party. Because the grant date for a PSA occurs when performance targets are approved, and we approved performance targets in each of fiscal years 2023, 2022, and 2021, PSA values in this column include: (</w:t>
      </w:r>
      <w:proofErr w:type="spellStart"/>
      <w:r>
        <w:rPr>
          <w:rFonts w:ascii="Arial" w:hAnsi="Arial" w:cs="Arial"/>
          <w:sz w:val="14"/>
          <w:szCs w:val="14"/>
        </w:rPr>
        <w:t>i</w:t>
      </w:r>
      <w:proofErr w:type="spellEnd"/>
      <w:r>
        <w:rPr>
          <w:rFonts w:ascii="Arial" w:hAnsi="Arial" w:cs="Arial"/>
          <w:sz w:val="14"/>
          <w:szCs w:val="14"/>
        </w:rPr>
        <w:t>) for fiscal year 2023 – 33.33% of each of the fiscal year 2023 PSAs, the fiscal year 2022 PSAs, and the fiscal year 2021 PSAs; (ii) for fiscal year 2022 –33.33% of each of the fiscal year 2022 PSAs, the fiscal year 2021 PSAs, and the fiscal year 2020 PSAs; and (iii) for fiscal year 2021 – 33.33% of each of the fiscal year 2021 PSAs, the fiscal year 2020 PSAs, and the fiscal year 2019 PSAs. The grant date fair values of included PSAs, assuming at the grant date that the highest level of performance conditions will be achieved for each PSA, are: (</w:t>
      </w:r>
      <w:proofErr w:type="spellStart"/>
      <w:r>
        <w:rPr>
          <w:rFonts w:ascii="Arial" w:hAnsi="Arial" w:cs="Arial"/>
          <w:sz w:val="14"/>
          <w:szCs w:val="14"/>
        </w:rPr>
        <w:t>i</w:t>
      </w:r>
      <w:proofErr w:type="spellEnd"/>
      <w:r>
        <w:rPr>
          <w:rFonts w:ascii="Arial" w:hAnsi="Arial" w:cs="Arial"/>
          <w:sz w:val="14"/>
          <w:szCs w:val="14"/>
        </w:rPr>
        <w:t>) for fiscal year 2023, Mr. Nadella, $78,472,273; Ms. Hood, $16,932,981; Mr. Althoff, $</w:t>
      </w:r>
      <w:proofErr w:type="gramStart"/>
      <w:r>
        <w:rPr>
          <w:rFonts w:ascii="Arial" w:hAnsi="Arial" w:cs="Arial"/>
          <w:sz w:val="14"/>
          <w:szCs w:val="14"/>
        </w:rPr>
        <w:t>12,339,046</w:t>
      </w:r>
      <w:proofErr w:type="gramEnd"/>
      <w:r>
        <w:rPr>
          <w:rFonts w:ascii="Arial" w:hAnsi="Arial" w:cs="Arial"/>
          <w:sz w:val="14"/>
          <w:szCs w:val="14"/>
        </w:rPr>
        <w:t xml:space="preserve">; Mr. Smith, $14,905,094; and Mr. Young, $7,867,277. (ii) for fiscal year 2022, Mr. Nadella, $84,539,120; Ms. Hood, $26,445,265; Mr. Althoff, $16,660,404; Mr. Smith, $22,522,540; and Mr. Young, $3,506,158. (iii) for fiscal year 2021, Mr. Nadella, $52,529,846; Ms. Hood, $22,824,789; Mr. Smith, $18,984,417; and Mr. Young, $2,775,988. </w:t>
      </w:r>
    </w:p>
    <w:p w14:paraId="2A40A6D2"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Consists of Incentive Plan cash incentives. </w:t>
      </w:r>
    </w:p>
    <w:p w14:paraId="0D4C94F8"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Details about the amounts in the “All Other Compensation” column for fiscal year 2023 are set forth in the table below. </w:t>
      </w:r>
    </w:p>
    <w:p w14:paraId="4DFB96EE" w14:textId="77777777" w:rsidR="00D246A9" w:rsidRDefault="00D246A9">
      <w:pPr>
        <w:pStyle w:val="NormalWeb"/>
        <w:keepNext/>
        <w:spacing w:before="120" w:beforeAutospacing="0" w:after="0" w:afterAutospacing="0"/>
        <w:ind w:left="367"/>
        <w:rPr>
          <w:rFonts w:ascii="Arial" w:hAnsi="Arial" w:cs="Arial"/>
          <w:sz w:val="14"/>
          <w:szCs w:val="14"/>
        </w:rPr>
      </w:pPr>
      <w:r>
        <w:rPr>
          <w:rFonts w:ascii="Arial" w:hAnsi="Arial" w:cs="Arial"/>
          <w:b/>
          <w:bCs/>
          <w:sz w:val="14"/>
          <w:szCs w:val="14"/>
        </w:rPr>
        <w:t xml:space="preserve">All other compensation details </w:t>
      </w:r>
    </w:p>
    <w:p w14:paraId="47DA0213" w14:textId="77777777" w:rsidR="00D246A9" w:rsidRDefault="00D246A9">
      <w:pPr>
        <w:pStyle w:val="NormalWeb"/>
        <w:keepNext/>
        <w:spacing w:before="0" w:beforeAutospacing="0" w:after="0" w:afterAutospacing="0"/>
        <w:rPr>
          <w:sz w:val="12"/>
          <w:szCs w:val="12"/>
        </w:rPr>
      </w:pPr>
      <w:r>
        <w:rPr>
          <w:sz w:val="12"/>
          <w:szCs w:val="12"/>
        </w:rPr>
        <w:t> </w:t>
      </w:r>
    </w:p>
    <w:tbl>
      <w:tblPr>
        <w:tblW w:w="0" w:type="auto"/>
        <w:jc w:val="right"/>
        <w:tblLayout w:type="fixed"/>
        <w:tblCellMar>
          <w:left w:w="0" w:type="dxa"/>
          <w:right w:w="0" w:type="dxa"/>
        </w:tblCellMar>
        <w:tblLook w:val="04A0" w:firstRow="1" w:lastRow="0" w:firstColumn="1" w:lastColumn="0" w:noHBand="0" w:noVBand="1"/>
      </w:tblPr>
      <w:tblGrid>
        <w:gridCol w:w="3610"/>
        <w:gridCol w:w="1504"/>
        <w:gridCol w:w="1364"/>
        <w:gridCol w:w="1104"/>
        <w:gridCol w:w="1624"/>
        <w:gridCol w:w="1084"/>
      </w:tblGrid>
      <w:tr w:rsidR="00902E10" w14:paraId="3DECF3AD" w14:textId="77777777" w:rsidTr="00FE0A0A">
        <w:trPr>
          <w:cantSplit/>
          <w:tblHeader/>
          <w:jc w:val="right"/>
        </w:trPr>
        <w:tc>
          <w:tcPr>
            <w:tcW w:w="3610" w:type="dxa"/>
            <w:tcBorders>
              <w:bottom w:val="single" w:sz="6" w:space="0" w:color="000000"/>
            </w:tcBorders>
            <w:tcMar>
              <w:top w:w="0" w:type="dxa"/>
              <w:left w:w="0" w:type="dxa"/>
              <w:bottom w:w="40" w:type="dxa"/>
              <w:right w:w="0" w:type="dxa"/>
            </w:tcMar>
            <w:vAlign w:val="bottom"/>
            <w:hideMark/>
          </w:tcPr>
          <w:p w14:paraId="416DA6B8" w14:textId="77777777" w:rsidR="00902E10" w:rsidRPr="00306F7C" w:rsidRDefault="00902E10">
            <w:pPr>
              <w:pStyle w:val="NormalWeb"/>
              <w:keepNext/>
              <w:spacing w:before="0" w:beforeAutospacing="0" w:after="20" w:afterAutospacing="0"/>
              <w:ind w:firstLine="127"/>
              <w:rPr>
                <w:rFonts w:ascii="Arial" w:hAnsi="Arial" w:cs="Arial"/>
                <w:sz w:val="15"/>
                <w:szCs w:val="15"/>
              </w:rPr>
            </w:pPr>
            <w:r>
              <w:rPr>
                <w:rFonts w:ascii="Arial" w:hAnsi="Arial" w:cs="Arial"/>
                <w:b/>
                <w:bCs/>
                <w:sz w:val="15"/>
                <w:szCs w:val="15"/>
              </w:rPr>
              <w:t>Named Executive</w:t>
            </w:r>
          </w:p>
        </w:tc>
        <w:tc>
          <w:tcPr>
            <w:tcW w:w="1504" w:type="dxa"/>
            <w:tcBorders>
              <w:bottom w:val="single" w:sz="6" w:space="0" w:color="000000"/>
            </w:tcBorders>
            <w:tcMar>
              <w:top w:w="0" w:type="dxa"/>
              <w:left w:w="144" w:type="dxa"/>
              <w:bottom w:w="0" w:type="dxa"/>
              <w:right w:w="0" w:type="dxa"/>
            </w:tcMar>
            <w:vAlign w:val="bottom"/>
            <w:hideMark/>
          </w:tcPr>
          <w:p w14:paraId="26A1B24B" w14:textId="77777777" w:rsidR="00902E10" w:rsidRDefault="00902E10">
            <w:pPr>
              <w:pStyle w:val="NormalWeb"/>
              <w:spacing w:before="0" w:beforeAutospacing="0" w:after="0" w:afterAutospacing="0"/>
              <w:jc w:val="right"/>
              <w:rPr>
                <w:rFonts w:ascii="Arial" w:hAnsi="Arial" w:cs="Arial"/>
                <w:sz w:val="15"/>
                <w:szCs w:val="15"/>
              </w:rPr>
            </w:pPr>
            <w:r>
              <w:rPr>
                <w:rFonts w:ascii="Arial" w:hAnsi="Arial" w:cs="Arial"/>
                <w:b/>
                <w:bCs/>
                <w:sz w:val="15"/>
                <w:szCs w:val="15"/>
              </w:rPr>
              <w:t>Retirement Plan</w:t>
            </w:r>
          </w:p>
          <w:p w14:paraId="2441ABBC" w14:textId="77777777" w:rsidR="00902E10" w:rsidRDefault="00902E10">
            <w:pPr>
              <w:pStyle w:val="NormalWeb"/>
              <w:spacing w:before="0" w:beforeAutospacing="0" w:after="0" w:afterAutospacing="0"/>
              <w:jc w:val="right"/>
              <w:rPr>
                <w:rFonts w:ascii="Arial" w:hAnsi="Arial" w:cs="Arial"/>
                <w:sz w:val="15"/>
                <w:szCs w:val="15"/>
              </w:rPr>
            </w:pPr>
            <w:proofErr w:type="spellStart"/>
            <w:r>
              <w:rPr>
                <w:rFonts w:ascii="Arial" w:hAnsi="Arial" w:cs="Arial"/>
                <w:b/>
                <w:bCs/>
                <w:sz w:val="15"/>
                <w:szCs w:val="15"/>
              </w:rPr>
              <w:t>Contributions</w:t>
            </w:r>
            <w:r>
              <w:rPr>
                <w:rFonts w:ascii="Arial" w:hAnsi="Arial" w:cs="Arial"/>
                <w:b/>
                <w:bCs/>
                <w:sz w:val="11"/>
                <w:szCs w:val="11"/>
                <w:vertAlign w:val="superscript"/>
              </w:rPr>
              <w:t>A</w:t>
            </w:r>
            <w:proofErr w:type="spellEnd"/>
          </w:p>
          <w:p w14:paraId="0665FF87" w14:textId="77777777" w:rsidR="00902E10" w:rsidRDefault="00902E10">
            <w:pPr>
              <w:pStyle w:val="NormalWeb"/>
              <w:spacing w:before="0" w:beforeAutospacing="0" w:after="20" w:afterAutospacing="0"/>
              <w:jc w:val="right"/>
              <w:rPr>
                <w:rFonts w:ascii="Arial" w:hAnsi="Arial" w:cs="Arial"/>
                <w:sz w:val="15"/>
                <w:szCs w:val="15"/>
              </w:rPr>
            </w:pPr>
            <w:r>
              <w:rPr>
                <w:rFonts w:ascii="Arial" w:hAnsi="Arial" w:cs="Arial"/>
                <w:b/>
                <w:bCs/>
                <w:sz w:val="15"/>
                <w:szCs w:val="15"/>
              </w:rPr>
              <w:t>($)</w:t>
            </w:r>
          </w:p>
        </w:tc>
        <w:tc>
          <w:tcPr>
            <w:tcW w:w="1364" w:type="dxa"/>
            <w:tcBorders>
              <w:bottom w:val="single" w:sz="6" w:space="0" w:color="000000"/>
            </w:tcBorders>
            <w:tcMar>
              <w:top w:w="0" w:type="dxa"/>
              <w:left w:w="144" w:type="dxa"/>
              <w:bottom w:w="0" w:type="dxa"/>
              <w:right w:w="0" w:type="dxa"/>
            </w:tcMar>
            <w:vAlign w:val="bottom"/>
            <w:hideMark/>
          </w:tcPr>
          <w:p w14:paraId="12088250" w14:textId="77777777" w:rsidR="00902E10" w:rsidRDefault="00902E10">
            <w:pPr>
              <w:pStyle w:val="NormalWeb"/>
              <w:spacing w:before="0" w:beforeAutospacing="0" w:after="0" w:afterAutospacing="0"/>
              <w:jc w:val="right"/>
              <w:rPr>
                <w:rFonts w:ascii="Arial" w:hAnsi="Arial" w:cs="Arial"/>
                <w:sz w:val="15"/>
                <w:szCs w:val="15"/>
              </w:rPr>
            </w:pPr>
            <w:r>
              <w:rPr>
                <w:rFonts w:ascii="Arial" w:hAnsi="Arial" w:cs="Arial"/>
                <w:b/>
                <w:bCs/>
                <w:sz w:val="15"/>
                <w:szCs w:val="15"/>
              </w:rPr>
              <w:t>Broad-Based</w:t>
            </w:r>
          </w:p>
          <w:p w14:paraId="6B7BE73D" w14:textId="77777777" w:rsidR="00902E10" w:rsidRDefault="00902E10">
            <w:pPr>
              <w:pStyle w:val="NormalWeb"/>
              <w:spacing w:before="0" w:beforeAutospacing="0" w:after="0" w:afterAutospacing="0"/>
              <w:jc w:val="right"/>
              <w:rPr>
                <w:rFonts w:ascii="Arial" w:hAnsi="Arial" w:cs="Arial"/>
                <w:sz w:val="15"/>
                <w:szCs w:val="15"/>
              </w:rPr>
            </w:pPr>
            <w:r>
              <w:rPr>
                <w:rFonts w:ascii="Arial" w:hAnsi="Arial" w:cs="Arial"/>
                <w:b/>
                <w:bCs/>
                <w:sz w:val="15"/>
                <w:szCs w:val="15"/>
              </w:rPr>
              <w:t>Plan </w:t>
            </w:r>
            <w:proofErr w:type="spellStart"/>
            <w:r>
              <w:rPr>
                <w:rFonts w:ascii="Arial" w:hAnsi="Arial" w:cs="Arial"/>
                <w:b/>
                <w:bCs/>
                <w:sz w:val="15"/>
                <w:szCs w:val="15"/>
              </w:rPr>
              <w:t>Benefits</w:t>
            </w:r>
            <w:r>
              <w:rPr>
                <w:rFonts w:ascii="Arial" w:hAnsi="Arial" w:cs="Arial"/>
                <w:b/>
                <w:bCs/>
                <w:sz w:val="11"/>
                <w:szCs w:val="11"/>
                <w:vertAlign w:val="superscript"/>
              </w:rPr>
              <w:t>B</w:t>
            </w:r>
            <w:proofErr w:type="spellEnd"/>
          </w:p>
          <w:p w14:paraId="0B630780" w14:textId="77777777" w:rsidR="00902E10" w:rsidRDefault="00902E10">
            <w:pPr>
              <w:pStyle w:val="NormalWeb"/>
              <w:spacing w:before="0" w:beforeAutospacing="0" w:after="20" w:afterAutospacing="0"/>
              <w:jc w:val="right"/>
              <w:rPr>
                <w:rFonts w:ascii="Arial" w:hAnsi="Arial" w:cs="Arial"/>
                <w:sz w:val="15"/>
                <w:szCs w:val="15"/>
              </w:rPr>
            </w:pPr>
            <w:r>
              <w:rPr>
                <w:rFonts w:ascii="Arial" w:hAnsi="Arial" w:cs="Arial"/>
                <w:b/>
                <w:bCs/>
                <w:sz w:val="15"/>
                <w:szCs w:val="15"/>
              </w:rPr>
              <w:t>($)</w:t>
            </w:r>
          </w:p>
        </w:tc>
        <w:tc>
          <w:tcPr>
            <w:tcW w:w="1104" w:type="dxa"/>
            <w:tcBorders>
              <w:bottom w:val="single" w:sz="6" w:space="0" w:color="000000"/>
            </w:tcBorders>
            <w:tcMar>
              <w:top w:w="0" w:type="dxa"/>
              <w:left w:w="144" w:type="dxa"/>
              <w:bottom w:w="0" w:type="dxa"/>
              <w:right w:w="0" w:type="dxa"/>
            </w:tcMar>
            <w:vAlign w:val="bottom"/>
            <w:hideMark/>
          </w:tcPr>
          <w:p w14:paraId="7123622F" w14:textId="77777777" w:rsidR="00902E10" w:rsidRDefault="00902E10">
            <w:pPr>
              <w:pStyle w:val="NormalWeb"/>
              <w:spacing w:before="0" w:beforeAutospacing="0" w:after="0" w:afterAutospacing="0"/>
              <w:jc w:val="right"/>
              <w:rPr>
                <w:rFonts w:ascii="Arial" w:hAnsi="Arial" w:cs="Arial"/>
                <w:sz w:val="15"/>
                <w:szCs w:val="15"/>
              </w:rPr>
            </w:pPr>
            <w:r>
              <w:rPr>
                <w:rFonts w:ascii="Arial" w:hAnsi="Arial" w:cs="Arial"/>
                <w:b/>
                <w:bCs/>
                <w:sz w:val="15"/>
                <w:szCs w:val="15"/>
              </w:rPr>
              <w:t>Charitable</w:t>
            </w:r>
          </w:p>
          <w:p w14:paraId="757A971D" w14:textId="77777777" w:rsidR="00902E10" w:rsidRDefault="00902E10">
            <w:pPr>
              <w:pStyle w:val="NormalWeb"/>
              <w:spacing w:before="0" w:beforeAutospacing="0" w:after="0" w:afterAutospacing="0"/>
              <w:jc w:val="right"/>
              <w:rPr>
                <w:rFonts w:ascii="Arial" w:hAnsi="Arial" w:cs="Arial"/>
                <w:sz w:val="15"/>
                <w:szCs w:val="15"/>
              </w:rPr>
            </w:pPr>
            <w:proofErr w:type="spellStart"/>
            <w:r>
              <w:rPr>
                <w:rFonts w:ascii="Arial" w:hAnsi="Arial" w:cs="Arial"/>
                <w:b/>
                <w:bCs/>
                <w:sz w:val="15"/>
                <w:szCs w:val="15"/>
              </w:rPr>
              <w:t>Gifts</w:t>
            </w:r>
            <w:r>
              <w:rPr>
                <w:rFonts w:ascii="Arial" w:hAnsi="Arial" w:cs="Arial"/>
                <w:b/>
                <w:bCs/>
                <w:sz w:val="11"/>
                <w:szCs w:val="11"/>
                <w:vertAlign w:val="superscript"/>
              </w:rPr>
              <w:t>C</w:t>
            </w:r>
            <w:proofErr w:type="spellEnd"/>
          </w:p>
          <w:p w14:paraId="7B041F0E" w14:textId="77777777" w:rsidR="00902E10" w:rsidRDefault="00902E10">
            <w:pPr>
              <w:pStyle w:val="NormalWeb"/>
              <w:spacing w:before="0" w:beforeAutospacing="0" w:after="20" w:afterAutospacing="0"/>
              <w:jc w:val="right"/>
              <w:rPr>
                <w:rFonts w:ascii="Arial" w:hAnsi="Arial" w:cs="Arial"/>
                <w:sz w:val="15"/>
                <w:szCs w:val="15"/>
              </w:rPr>
            </w:pPr>
            <w:r>
              <w:rPr>
                <w:rFonts w:ascii="Arial" w:hAnsi="Arial" w:cs="Arial"/>
                <w:b/>
                <w:bCs/>
                <w:sz w:val="15"/>
                <w:szCs w:val="15"/>
              </w:rPr>
              <w:t>($)</w:t>
            </w:r>
          </w:p>
        </w:tc>
        <w:tc>
          <w:tcPr>
            <w:tcW w:w="1624" w:type="dxa"/>
            <w:tcBorders>
              <w:bottom w:val="single" w:sz="6" w:space="0" w:color="000000"/>
            </w:tcBorders>
            <w:tcMar>
              <w:top w:w="0" w:type="dxa"/>
              <w:left w:w="144" w:type="dxa"/>
              <w:bottom w:w="0" w:type="dxa"/>
              <w:right w:w="0" w:type="dxa"/>
            </w:tcMar>
            <w:vAlign w:val="bottom"/>
            <w:hideMark/>
          </w:tcPr>
          <w:p w14:paraId="68284F19" w14:textId="77777777" w:rsidR="00902E10" w:rsidRDefault="00902E10">
            <w:pPr>
              <w:pStyle w:val="NormalWeb"/>
              <w:spacing w:before="0" w:beforeAutospacing="0" w:after="0" w:afterAutospacing="0"/>
              <w:jc w:val="right"/>
              <w:rPr>
                <w:rFonts w:ascii="Arial" w:hAnsi="Arial" w:cs="Arial"/>
                <w:sz w:val="15"/>
                <w:szCs w:val="15"/>
              </w:rPr>
            </w:pPr>
            <w:r>
              <w:rPr>
                <w:rFonts w:ascii="Arial" w:hAnsi="Arial" w:cs="Arial"/>
                <w:b/>
                <w:bCs/>
                <w:sz w:val="15"/>
                <w:szCs w:val="15"/>
              </w:rPr>
              <w:t>One-Time</w:t>
            </w:r>
            <w:r>
              <w:rPr>
                <w:rFonts w:ascii="Arial" w:hAnsi="Arial" w:cs="Arial"/>
                <w:b/>
                <w:bCs/>
                <w:sz w:val="15"/>
                <w:szCs w:val="15"/>
              </w:rPr>
              <w:br/>
              <w:t>Vacation </w:t>
            </w:r>
            <w:proofErr w:type="spellStart"/>
            <w:r>
              <w:rPr>
                <w:rFonts w:ascii="Arial" w:hAnsi="Arial" w:cs="Arial"/>
                <w:b/>
                <w:bCs/>
                <w:sz w:val="15"/>
                <w:szCs w:val="15"/>
              </w:rPr>
              <w:t>Accrual</w:t>
            </w:r>
            <w:r>
              <w:rPr>
                <w:rFonts w:ascii="Arial" w:hAnsi="Arial" w:cs="Arial"/>
                <w:b/>
                <w:bCs/>
                <w:sz w:val="11"/>
                <w:szCs w:val="11"/>
                <w:vertAlign w:val="superscript"/>
              </w:rPr>
              <w:t>D</w:t>
            </w:r>
            <w:proofErr w:type="spellEnd"/>
          </w:p>
          <w:p w14:paraId="6D6F6B63" w14:textId="77777777" w:rsidR="00902E10" w:rsidRDefault="00902E10">
            <w:pPr>
              <w:pStyle w:val="NormalWeb"/>
              <w:spacing w:before="0" w:beforeAutospacing="0" w:after="20" w:afterAutospacing="0"/>
              <w:jc w:val="right"/>
              <w:rPr>
                <w:rFonts w:ascii="Arial" w:hAnsi="Arial" w:cs="Arial"/>
                <w:sz w:val="15"/>
                <w:szCs w:val="15"/>
              </w:rPr>
            </w:pPr>
            <w:r>
              <w:rPr>
                <w:rFonts w:ascii="Arial" w:hAnsi="Arial" w:cs="Arial"/>
                <w:b/>
                <w:bCs/>
                <w:sz w:val="15"/>
                <w:szCs w:val="15"/>
              </w:rPr>
              <w:t>($)</w:t>
            </w:r>
          </w:p>
        </w:tc>
        <w:tc>
          <w:tcPr>
            <w:tcW w:w="1084" w:type="dxa"/>
            <w:tcBorders>
              <w:bottom w:val="single" w:sz="6" w:space="0" w:color="000000"/>
            </w:tcBorders>
            <w:tcMar>
              <w:top w:w="0" w:type="dxa"/>
              <w:left w:w="144" w:type="dxa"/>
              <w:bottom w:w="0" w:type="dxa"/>
              <w:right w:w="0" w:type="dxa"/>
            </w:tcMar>
            <w:vAlign w:val="bottom"/>
            <w:hideMark/>
          </w:tcPr>
          <w:p w14:paraId="6677B816" w14:textId="77777777" w:rsidR="00902E10" w:rsidRDefault="00902E10">
            <w:pPr>
              <w:pStyle w:val="NormalWeb"/>
              <w:spacing w:before="0" w:beforeAutospacing="0" w:after="0" w:afterAutospacing="0"/>
              <w:jc w:val="right"/>
              <w:rPr>
                <w:rFonts w:ascii="Arial" w:hAnsi="Arial" w:cs="Arial"/>
                <w:sz w:val="15"/>
                <w:szCs w:val="15"/>
              </w:rPr>
            </w:pPr>
            <w:r>
              <w:rPr>
                <w:rFonts w:ascii="Arial" w:hAnsi="Arial" w:cs="Arial"/>
                <w:b/>
                <w:bCs/>
                <w:sz w:val="15"/>
                <w:szCs w:val="15"/>
              </w:rPr>
              <w:t>Total</w:t>
            </w:r>
          </w:p>
          <w:p w14:paraId="19DE1F67" w14:textId="77777777" w:rsidR="00902E10" w:rsidRDefault="00902E10">
            <w:pPr>
              <w:pStyle w:val="NormalWeb"/>
              <w:spacing w:before="0" w:beforeAutospacing="0" w:after="20" w:afterAutospacing="0"/>
              <w:jc w:val="right"/>
              <w:rPr>
                <w:rFonts w:ascii="Arial" w:hAnsi="Arial" w:cs="Arial"/>
                <w:sz w:val="15"/>
                <w:szCs w:val="15"/>
              </w:rPr>
            </w:pPr>
            <w:r>
              <w:rPr>
                <w:rFonts w:ascii="Arial" w:hAnsi="Arial" w:cs="Arial"/>
                <w:b/>
                <w:bCs/>
                <w:sz w:val="15"/>
                <w:szCs w:val="15"/>
              </w:rPr>
              <w:t>($)</w:t>
            </w:r>
          </w:p>
        </w:tc>
      </w:tr>
      <w:tr w:rsidR="00902E10" w14:paraId="63E9EC4A" w14:textId="77777777" w:rsidTr="00FE0A0A">
        <w:trPr>
          <w:cantSplit/>
          <w:jc w:val="right"/>
        </w:trPr>
        <w:tc>
          <w:tcPr>
            <w:tcW w:w="3610" w:type="dxa"/>
            <w:tcBorders>
              <w:bottom w:val="single" w:sz="6" w:space="0" w:color="0075C9"/>
            </w:tcBorders>
            <w:tcMar>
              <w:top w:w="0" w:type="dxa"/>
              <w:left w:w="0" w:type="dxa"/>
              <w:bottom w:w="40" w:type="dxa"/>
              <w:right w:w="0" w:type="dxa"/>
            </w:tcMar>
            <w:hideMark/>
          </w:tcPr>
          <w:p w14:paraId="06D09027" w14:textId="77777777" w:rsidR="00902E10" w:rsidRPr="00306F7C" w:rsidRDefault="00902E10">
            <w:pPr>
              <w:pStyle w:val="NormalWeb"/>
              <w:keepNext/>
              <w:spacing w:before="0" w:beforeAutospacing="0" w:after="0" w:afterAutospacing="0"/>
              <w:ind w:left="384" w:hanging="240"/>
              <w:rPr>
                <w:rFonts w:ascii="Arial" w:hAnsi="Arial" w:cs="Arial"/>
                <w:sz w:val="15"/>
                <w:szCs w:val="15"/>
              </w:rPr>
            </w:pPr>
            <w:r>
              <w:rPr>
                <w:rFonts w:ascii="Arial" w:hAnsi="Arial" w:cs="Arial"/>
                <w:b/>
                <w:bCs/>
                <w:color w:val="0075C9"/>
                <w:sz w:val="15"/>
                <w:szCs w:val="15"/>
              </w:rPr>
              <w:t>Satya Nadella</w:t>
            </w:r>
          </w:p>
        </w:tc>
        <w:tc>
          <w:tcPr>
            <w:tcW w:w="1504" w:type="dxa"/>
            <w:tcBorders>
              <w:bottom w:val="single" w:sz="6" w:space="0" w:color="0075C9"/>
            </w:tcBorders>
            <w:noWrap/>
            <w:tcMar>
              <w:top w:w="0" w:type="dxa"/>
              <w:left w:w="144" w:type="dxa"/>
              <w:bottom w:w="0" w:type="dxa"/>
              <w:right w:w="0" w:type="dxa"/>
            </w:tcMar>
            <w:vAlign w:val="bottom"/>
            <w:hideMark/>
          </w:tcPr>
          <w:p w14:paraId="0A36D43B" w14:textId="77777777" w:rsidR="00902E10" w:rsidRDefault="00902E10">
            <w:pPr>
              <w:pStyle w:val="NormalWeb"/>
              <w:tabs>
                <w:tab w:val="right" w:pos="1320"/>
                <w:tab w:val="decimal" w:pos="1360"/>
              </w:tabs>
              <w:spacing w:before="0" w:beforeAutospacing="0" w:after="20" w:afterAutospacing="0"/>
              <w:rPr>
                <w:rFonts w:ascii="Arial" w:hAnsi="Arial" w:cs="Arial"/>
                <w:sz w:val="15"/>
                <w:szCs w:val="15"/>
              </w:rPr>
            </w:pPr>
            <w:r>
              <w:rPr>
                <w:rFonts w:ascii="Arial" w:hAnsi="Arial" w:cs="Arial"/>
                <w:sz w:val="15"/>
                <w:szCs w:val="15"/>
              </w:rPr>
              <w:tab/>
              <w:t>11,250</w:t>
            </w:r>
            <w:r>
              <w:rPr>
                <w:rFonts w:ascii="Arial" w:hAnsi="Arial" w:cs="Arial"/>
                <w:sz w:val="15"/>
                <w:szCs w:val="15"/>
              </w:rPr>
              <w:tab/>
            </w:r>
          </w:p>
        </w:tc>
        <w:tc>
          <w:tcPr>
            <w:tcW w:w="1364" w:type="dxa"/>
            <w:tcBorders>
              <w:bottom w:val="single" w:sz="6" w:space="0" w:color="0075C9"/>
            </w:tcBorders>
            <w:noWrap/>
            <w:tcMar>
              <w:top w:w="0" w:type="dxa"/>
              <w:left w:w="144" w:type="dxa"/>
              <w:bottom w:w="0" w:type="dxa"/>
              <w:right w:w="0" w:type="dxa"/>
            </w:tcMar>
            <w:vAlign w:val="bottom"/>
            <w:hideMark/>
          </w:tcPr>
          <w:p w14:paraId="7478876A" w14:textId="77777777" w:rsidR="00902E10" w:rsidRDefault="00902E10">
            <w:pPr>
              <w:pStyle w:val="NormalWeb"/>
              <w:tabs>
                <w:tab w:val="right" w:pos="1180"/>
                <w:tab w:val="decimal" w:pos="1220"/>
              </w:tabs>
              <w:spacing w:before="0" w:beforeAutospacing="0" w:after="20" w:afterAutospacing="0"/>
              <w:rPr>
                <w:rFonts w:ascii="Arial" w:hAnsi="Arial" w:cs="Arial"/>
                <w:sz w:val="15"/>
                <w:szCs w:val="15"/>
              </w:rPr>
            </w:pPr>
            <w:r>
              <w:rPr>
                <w:rFonts w:ascii="Arial" w:hAnsi="Arial" w:cs="Arial"/>
                <w:sz w:val="15"/>
                <w:szCs w:val="15"/>
              </w:rPr>
              <w:tab/>
              <w:t>0</w:t>
            </w:r>
            <w:r>
              <w:rPr>
                <w:rFonts w:ascii="Arial" w:hAnsi="Arial" w:cs="Arial"/>
                <w:sz w:val="15"/>
                <w:szCs w:val="15"/>
              </w:rPr>
              <w:tab/>
            </w:r>
          </w:p>
        </w:tc>
        <w:tc>
          <w:tcPr>
            <w:tcW w:w="1104" w:type="dxa"/>
            <w:tcBorders>
              <w:bottom w:val="single" w:sz="6" w:space="0" w:color="0075C9"/>
            </w:tcBorders>
            <w:noWrap/>
            <w:tcMar>
              <w:top w:w="0" w:type="dxa"/>
              <w:left w:w="144" w:type="dxa"/>
              <w:bottom w:w="0" w:type="dxa"/>
              <w:right w:w="0" w:type="dxa"/>
            </w:tcMar>
            <w:vAlign w:val="bottom"/>
            <w:hideMark/>
          </w:tcPr>
          <w:p w14:paraId="4EEFDF40" w14:textId="77777777" w:rsidR="00902E10" w:rsidRDefault="00902E10">
            <w:pPr>
              <w:pStyle w:val="NormalWeb"/>
              <w:tabs>
                <w:tab w:val="right" w:pos="920"/>
                <w:tab w:val="decimal" w:pos="960"/>
              </w:tabs>
              <w:spacing w:before="0" w:beforeAutospacing="0" w:after="20" w:afterAutospacing="0"/>
              <w:rPr>
                <w:rFonts w:ascii="Arial" w:hAnsi="Arial" w:cs="Arial"/>
                <w:sz w:val="15"/>
                <w:szCs w:val="15"/>
              </w:rPr>
            </w:pPr>
            <w:r>
              <w:rPr>
                <w:rFonts w:ascii="Arial" w:hAnsi="Arial" w:cs="Arial"/>
                <w:sz w:val="15"/>
                <w:szCs w:val="15"/>
              </w:rPr>
              <w:tab/>
              <w:t>100,000</w:t>
            </w:r>
            <w:r>
              <w:rPr>
                <w:rFonts w:ascii="Arial" w:hAnsi="Arial" w:cs="Arial"/>
                <w:sz w:val="15"/>
                <w:szCs w:val="15"/>
              </w:rPr>
              <w:tab/>
            </w:r>
          </w:p>
        </w:tc>
        <w:tc>
          <w:tcPr>
            <w:tcW w:w="1624" w:type="dxa"/>
            <w:tcBorders>
              <w:bottom w:val="single" w:sz="6" w:space="0" w:color="0075C9"/>
            </w:tcBorders>
            <w:noWrap/>
            <w:tcMar>
              <w:top w:w="0" w:type="dxa"/>
              <w:left w:w="144" w:type="dxa"/>
              <w:bottom w:w="0" w:type="dxa"/>
              <w:right w:w="0" w:type="dxa"/>
            </w:tcMar>
            <w:vAlign w:val="bottom"/>
            <w:hideMark/>
          </w:tcPr>
          <w:p w14:paraId="635469E6" w14:textId="77777777" w:rsidR="00902E10" w:rsidRDefault="00902E10">
            <w:pPr>
              <w:pStyle w:val="NormalWeb"/>
              <w:tabs>
                <w:tab w:val="right" w:pos="1440"/>
                <w:tab w:val="decimal" w:pos="1480"/>
              </w:tabs>
              <w:spacing w:before="0" w:beforeAutospacing="0" w:after="20" w:afterAutospacing="0"/>
              <w:rPr>
                <w:rFonts w:ascii="Arial" w:hAnsi="Arial" w:cs="Arial"/>
                <w:sz w:val="15"/>
                <w:szCs w:val="15"/>
              </w:rPr>
            </w:pPr>
            <w:r>
              <w:rPr>
                <w:rFonts w:ascii="Arial" w:hAnsi="Arial" w:cs="Arial"/>
                <w:sz w:val="15"/>
                <w:szCs w:val="15"/>
              </w:rPr>
              <w:tab/>
              <w:t>250,400</w:t>
            </w:r>
            <w:r>
              <w:rPr>
                <w:rFonts w:ascii="Arial" w:hAnsi="Arial" w:cs="Arial"/>
                <w:sz w:val="15"/>
                <w:szCs w:val="15"/>
              </w:rPr>
              <w:tab/>
            </w:r>
          </w:p>
        </w:tc>
        <w:tc>
          <w:tcPr>
            <w:tcW w:w="1084" w:type="dxa"/>
            <w:tcBorders>
              <w:bottom w:val="single" w:sz="6" w:space="0" w:color="0075C9"/>
            </w:tcBorders>
            <w:noWrap/>
            <w:tcMar>
              <w:top w:w="0" w:type="dxa"/>
              <w:left w:w="144" w:type="dxa"/>
              <w:bottom w:w="0" w:type="dxa"/>
              <w:right w:w="0" w:type="dxa"/>
            </w:tcMar>
            <w:vAlign w:val="bottom"/>
            <w:hideMark/>
          </w:tcPr>
          <w:p w14:paraId="386F799E" w14:textId="77777777" w:rsidR="00902E10" w:rsidRDefault="00902E10">
            <w:pPr>
              <w:pStyle w:val="NormalWeb"/>
              <w:tabs>
                <w:tab w:val="right" w:pos="900"/>
                <w:tab w:val="decimal" w:pos="940"/>
              </w:tabs>
              <w:spacing w:before="0" w:beforeAutospacing="0" w:after="20" w:afterAutospacing="0"/>
              <w:rPr>
                <w:rFonts w:ascii="Arial" w:hAnsi="Arial" w:cs="Arial"/>
                <w:sz w:val="15"/>
                <w:szCs w:val="15"/>
              </w:rPr>
            </w:pPr>
            <w:r>
              <w:rPr>
                <w:rFonts w:ascii="Arial" w:hAnsi="Arial" w:cs="Arial"/>
                <w:sz w:val="15"/>
                <w:szCs w:val="15"/>
              </w:rPr>
              <w:tab/>
              <w:t>361,650</w:t>
            </w:r>
            <w:r>
              <w:rPr>
                <w:rFonts w:ascii="Arial" w:hAnsi="Arial" w:cs="Arial"/>
                <w:sz w:val="15"/>
                <w:szCs w:val="15"/>
              </w:rPr>
              <w:tab/>
            </w:r>
          </w:p>
        </w:tc>
      </w:tr>
      <w:tr w:rsidR="00902E10" w14:paraId="619C9115" w14:textId="77777777" w:rsidTr="00FE0A0A">
        <w:trPr>
          <w:cantSplit/>
          <w:jc w:val="right"/>
        </w:trPr>
        <w:tc>
          <w:tcPr>
            <w:tcW w:w="3610" w:type="dxa"/>
            <w:tcBorders>
              <w:bottom w:val="single" w:sz="6" w:space="0" w:color="0075C9"/>
            </w:tcBorders>
            <w:tcMar>
              <w:top w:w="0" w:type="dxa"/>
              <w:left w:w="0" w:type="dxa"/>
              <w:bottom w:w="40" w:type="dxa"/>
              <w:right w:w="0" w:type="dxa"/>
            </w:tcMar>
            <w:hideMark/>
          </w:tcPr>
          <w:p w14:paraId="6983F9B3" w14:textId="77777777" w:rsidR="00902E10" w:rsidRPr="00306F7C" w:rsidRDefault="00902E10">
            <w:pPr>
              <w:pStyle w:val="NormalWeb"/>
              <w:keepNext/>
              <w:spacing w:before="0" w:beforeAutospacing="0" w:after="0" w:afterAutospacing="0"/>
              <w:ind w:left="384" w:hanging="240"/>
              <w:rPr>
                <w:rFonts w:ascii="Arial" w:hAnsi="Arial" w:cs="Arial"/>
                <w:sz w:val="15"/>
                <w:szCs w:val="15"/>
              </w:rPr>
            </w:pPr>
            <w:r>
              <w:rPr>
                <w:rFonts w:ascii="Arial" w:hAnsi="Arial" w:cs="Arial"/>
                <w:b/>
                <w:bCs/>
                <w:color w:val="0075C9"/>
                <w:sz w:val="15"/>
                <w:szCs w:val="15"/>
              </w:rPr>
              <w:t>Amy E. Hood</w:t>
            </w:r>
          </w:p>
        </w:tc>
        <w:tc>
          <w:tcPr>
            <w:tcW w:w="1504" w:type="dxa"/>
            <w:tcBorders>
              <w:bottom w:val="single" w:sz="6" w:space="0" w:color="0075C9"/>
            </w:tcBorders>
            <w:noWrap/>
            <w:tcMar>
              <w:top w:w="0" w:type="dxa"/>
              <w:left w:w="144" w:type="dxa"/>
              <w:bottom w:w="0" w:type="dxa"/>
              <w:right w:w="0" w:type="dxa"/>
            </w:tcMar>
            <w:vAlign w:val="bottom"/>
            <w:hideMark/>
          </w:tcPr>
          <w:p w14:paraId="070F2E15" w14:textId="77777777" w:rsidR="00902E10" w:rsidRDefault="00902E10">
            <w:pPr>
              <w:pStyle w:val="NormalWeb"/>
              <w:tabs>
                <w:tab w:val="right" w:pos="1320"/>
                <w:tab w:val="decimal" w:pos="1360"/>
              </w:tabs>
              <w:spacing w:before="0" w:beforeAutospacing="0" w:after="20" w:afterAutospacing="0"/>
              <w:rPr>
                <w:rFonts w:ascii="Arial" w:hAnsi="Arial" w:cs="Arial"/>
                <w:sz w:val="15"/>
                <w:szCs w:val="15"/>
              </w:rPr>
            </w:pPr>
            <w:r>
              <w:rPr>
                <w:rFonts w:ascii="Arial" w:hAnsi="Arial" w:cs="Arial"/>
                <w:sz w:val="15"/>
                <w:szCs w:val="15"/>
              </w:rPr>
              <w:tab/>
              <w:t>11,250</w:t>
            </w:r>
            <w:r>
              <w:rPr>
                <w:rFonts w:ascii="Arial" w:hAnsi="Arial" w:cs="Arial"/>
                <w:sz w:val="15"/>
                <w:szCs w:val="15"/>
              </w:rPr>
              <w:tab/>
            </w:r>
          </w:p>
        </w:tc>
        <w:tc>
          <w:tcPr>
            <w:tcW w:w="1364" w:type="dxa"/>
            <w:tcBorders>
              <w:bottom w:val="single" w:sz="6" w:space="0" w:color="0075C9"/>
            </w:tcBorders>
            <w:noWrap/>
            <w:tcMar>
              <w:top w:w="0" w:type="dxa"/>
              <w:left w:w="144" w:type="dxa"/>
              <w:bottom w:w="0" w:type="dxa"/>
              <w:right w:w="0" w:type="dxa"/>
            </w:tcMar>
            <w:vAlign w:val="bottom"/>
            <w:hideMark/>
          </w:tcPr>
          <w:p w14:paraId="6C679E3D" w14:textId="77777777" w:rsidR="00902E10" w:rsidRDefault="00902E10">
            <w:pPr>
              <w:pStyle w:val="NormalWeb"/>
              <w:tabs>
                <w:tab w:val="right" w:pos="1180"/>
                <w:tab w:val="decimal" w:pos="1220"/>
              </w:tabs>
              <w:spacing w:before="0" w:beforeAutospacing="0" w:after="20" w:afterAutospacing="0"/>
              <w:rPr>
                <w:rFonts w:ascii="Arial" w:hAnsi="Arial" w:cs="Arial"/>
                <w:sz w:val="15"/>
                <w:szCs w:val="15"/>
              </w:rPr>
            </w:pPr>
            <w:r>
              <w:rPr>
                <w:rFonts w:ascii="Arial" w:hAnsi="Arial" w:cs="Arial"/>
                <w:sz w:val="15"/>
                <w:szCs w:val="15"/>
              </w:rPr>
              <w:tab/>
              <w:t>1,229</w:t>
            </w:r>
            <w:r>
              <w:rPr>
                <w:rFonts w:ascii="Arial" w:hAnsi="Arial" w:cs="Arial"/>
                <w:sz w:val="15"/>
                <w:szCs w:val="15"/>
              </w:rPr>
              <w:tab/>
            </w:r>
          </w:p>
        </w:tc>
        <w:tc>
          <w:tcPr>
            <w:tcW w:w="1104" w:type="dxa"/>
            <w:tcBorders>
              <w:bottom w:val="single" w:sz="6" w:space="0" w:color="0075C9"/>
            </w:tcBorders>
            <w:noWrap/>
            <w:tcMar>
              <w:top w:w="0" w:type="dxa"/>
              <w:left w:w="144" w:type="dxa"/>
              <w:bottom w:w="0" w:type="dxa"/>
              <w:right w:w="0" w:type="dxa"/>
            </w:tcMar>
            <w:vAlign w:val="bottom"/>
            <w:hideMark/>
          </w:tcPr>
          <w:p w14:paraId="5E2E765B" w14:textId="77777777" w:rsidR="00902E10" w:rsidRDefault="00902E10">
            <w:pPr>
              <w:pStyle w:val="NormalWeb"/>
              <w:tabs>
                <w:tab w:val="right" w:pos="920"/>
                <w:tab w:val="decimal" w:pos="960"/>
              </w:tabs>
              <w:spacing w:before="0" w:beforeAutospacing="0" w:after="20" w:afterAutospacing="0"/>
              <w:rPr>
                <w:rFonts w:ascii="Arial" w:hAnsi="Arial" w:cs="Arial"/>
                <w:sz w:val="15"/>
                <w:szCs w:val="15"/>
              </w:rPr>
            </w:pPr>
            <w:r>
              <w:rPr>
                <w:rFonts w:ascii="Arial" w:hAnsi="Arial" w:cs="Arial"/>
                <w:sz w:val="15"/>
                <w:szCs w:val="15"/>
              </w:rPr>
              <w:tab/>
              <w:t>50,000</w:t>
            </w:r>
            <w:r>
              <w:rPr>
                <w:rFonts w:ascii="Arial" w:hAnsi="Arial" w:cs="Arial"/>
                <w:sz w:val="15"/>
                <w:szCs w:val="15"/>
              </w:rPr>
              <w:tab/>
            </w:r>
          </w:p>
        </w:tc>
        <w:tc>
          <w:tcPr>
            <w:tcW w:w="1624" w:type="dxa"/>
            <w:tcBorders>
              <w:bottom w:val="single" w:sz="6" w:space="0" w:color="0075C9"/>
            </w:tcBorders>
            <w:noWrap/>
            <w:tcMar>
              <w:top w:w="0" w:type="dxa"/>
              <w:left w:w="144" w:type="dxa"/>
              <w:bottom w:w="0" w:type="dxa"/>
              <w:right w:w="0" w:type="dxa"/>
            </w:tcMar>
            <w:vAlign w:val="bottom"/>
            <w:hideMark/>
          </w:tcPr>
          <w:p w14:paraId="377F65FD" w14:textId="77777777" w:rsidR="00902E10" w:rsidRDefault="00902E10">
            <w:pPr>
              <w:pStyle w:val="NormalWeb"/>
              <w:tabs>
                <w:tab w:val="right" w:pos="1440"/>
                <w:tab w:val="decimal" w:pos="1480"/>
              </w:tabs>
              <w:spacing w:before="0" w:beforeAutospacing="0" w:after="20" w:afterAutospacing="0"/>
              <w:rPr>
                <w:rFonts w:ascii="Arial" w:hAnsi="Arial" w:cs="Arial"/>
                <w:sz w:val="15"/>
                <w:szCs w:val="15"/>
              </w:rPr>
            </w:pPr>
            <w:r>
              <w:rPr>
                <w:rFonts w:ascii="Arial" w:hAnsi="Arial" w:cs="Arial"/>
                <w:sz w:val="15"/>
                <w:szCs w:val="15"/>
              </w:rPr>
              <w:tab/>
              <w:t>94,467</w:t>
            </w:r>
            <w:r>
              <w:rPr>
                <w:rFonts w:ascii="Arial" w:hAnsi="Arial" w:cs="Arial"/>
                <w:sz w:val="15"/>
                <w:szCs w:val="15"/>
              </w:rPr>
              <w:tab/>
            </w:r>
          </w:p>
        </w:tc>
        <w:tc>
          <w:tcPr>
            <w:tcW w:w="1084" w:type="dxa"/>
            <w:tcBorders>
              <w:bottom w:val="single" w:sz="6" w:space="0" w:color="0075C9"/>
            </w:tcBorders>
            <w:noWrap/>
            <w:tcMar>
              <w:top w:w="0" w:type="dxa"/>
              <w:left w:w="144" w:type="dxa"/>
              <w:bottom w:w="0" w:type="dxa"/>
              <w:right w:w="0" w:type="dxa"/>
            </w:tcMar>
            <w:vAlign w:val="bottom"/>
            <w:hideMark/>
          </w:tcPr>
          <w:p w14:paraId="2D786816" w14:textId="77777777" w:rsidR="00902E10" w:rsidRDefault="00902E10">
            <w:pPr>
              <w:pStyle w:val="NormalWeb"/>
              <w:tabs>
                <w:tab w:val="right" w:pos="900"/>
                <w:tab w:val="decimal" w:pos="940"/>
              </w:tabs>
              <w:spacing w:before="0" w:beforeAutospacing="0" w:after="20" w:afterAutospacing="0"/>
              <w:rPr>
                <w:rFonts w:ascii="Arial" w:hAnsi="Arial" w:cs="Arial"/>
                <w:sz w:val="15"/>
                <w:szCs w:val="15"/>
              </w:rPr>
            </w:pPr>
            <w:r>
              <w:rPr>
                <w:rFonts w:ascii="Arial" w:hAnsi="Arial" w:cs="Arial"/>
                <w:sz w:val="15"/>
                <w:szCs w:val="15"/>
              </w:rPr>
              <w:tab/>
              <w:t>156,946</w:t>
            </w:r>
            <w:r>
              <w:rPr>
                <w:rFonts w:ascii="Arial" w:hAnsi="Arial" w:cs="Arial"/>
                <w:sz w:val="15"/>
                <w:szCs w:val="15"/>
              </w:rPr>
              <w:tab/>
            </w:r>
          </w:p>
        </w:tc>
      </w:tr>
      <w:tr w:rsidR="00902E10" w14:paraId="08178593" w14:textId="77777777" w:rsidTr="00FE0A0A">
        <w:trPr>
          <w:cantSplit/>
          <w:jc w:val="right"/>
        </w:trPr>
        <w:tc>
          <w:tcPr>
            <w:tcW w:w="3610" w:type="dxa"/>
            <w:tcBorders>
              <w:bottom w:val="single" w:sz="6" w:space="0" w:color="0075C9"/>
            </w:tcBorders>
            <w:tcMar>
              <w:top w:w="0" w:type="dxa"/>
              <w:left w:w="0" w:type="dxa"/>
              <w:bottom w:w="40" w:type="dxa"/>
              <w:right w:w="0" w:type="dxa"/>
            </w:tcMar>
            <w:hideMark/>
          </w:tcPr>
          <w:p w14:paraId="0921CEBC" w14:textId="77777777" w:rsidR="00902E10" w:rsidRPr="00306F7C" w:rsidRDefault="00902E10">
            <w:pPr>
              <w:pStyle w:val="NormalWeb"/>
              <w:spacing w:before="0" w:beforeAutospacing="0" w:after="0" w:afterAutospacing="0"/>
              <w:ind w:left="384" w:hanging="240"/>
              <w:rPr>
                <w:rFonts w:ascii="Arial" w:hAnsi="Arial" w:cs="Arial"/>
                <w:sz w:val="15"/>
                <w:szCs w:val="15"/>
              </w:rPr>
            </w:pPr>
            <w:r>
              <w:rPr>
                <w:rFonts w:ascii="Arial" w:hAnsi="Arial" w:cs="Arial"/>
                <w:b/>
                <w:bCs/>
                <w:color w:val="0075C9"/>
                <w:sz w:val="15"/>
                <w:szCs w:val="15"/>
              </w:rPr>
              <w:t>Judson B. Althoff</w:t>
            </w:r>
          </w:p>
        </w:tc>
        <w:tc>
          <w:tcPr>
            <w:tcW w:w="1504" w:type="dxa"/>
            <w:tcBorders>
              <w:bottom w:val="single" w:sz="6" w:space="0" w:color="0075C9"/>
            </w:tcBorders>
            <w:noWrap/>
            <w:tcMar>
              <w:top w:w="0" w:type="dxa"/>
              <w:left w:w="144" w:type="dxa"/>
              <w:bottom w:w="0" w:type="dxa"/>
              <w:right w:w="0" w:type="dxa"/>
            </w:tcMar>
            <w:vAlign w:val="bottom"/>
            <w:hideMark/>
          </w:tcPr>
          <w:p w14:paraId="7104B2EC" w14:textId="77777777" w:rsidR="00902E10" w:rsidRDefault="00902E10">
            <w:pPr>
              <w:pStyle w:val="NormalWeb"/>
              <w:tabs>
                <w:tab w:val="right" w:pos="1320"/>
                <w:tab w:val="decimal" w:pos="1360"/>
              </w:tabs>
              <w:spacing w:before="0" w:beforeAutospacing="0" w:after="20" w:afterAutospacing="0"/>
              <w:rPr>
                <w:rFonts w:ascii="Arial" w:hAnsi="Arial" w:cs="Arial"/>
                <w:sz w:val="15"/>
                <w:szCs w:val="15"/>
              </w:rPr>
            </w:pPr>
            <w:r>
              <w:rPr>
                <w:rFonts w:ascii="Arial" w:hAnsi="Arial" w:cs="Arial"/>
                <w:sz w:val="15"/>
                <w:szCs w:val="15"/>
              </w:rPr>
              <w:tab/>
              <w:t>10,250</w:t>
            </w:r>
            <w:r>
              <w:rPr>
                <w:rFonts w:ascii="Arial" w:hAnsi="Arial" w:cs="Arial"/>
                <w:sz w:val="15"/>
                <w:szCs w:val="15"/>
              </w:rPr>
              <w:tab/>
            </w:r>
          </w:p>
        </w:tc>
        <w:tc>
          <w:tcPr>
            <w:tcW w:w="1364" w:type="dxa"/>
            <w:tcBorders>
              <w:bottom w:val="single" w:sz="6" w:space="0" w:color="0075C9"/>
            </w:tcBorders>
            <w:noWrap/>
            <w:tcMar>
              <w:top w:w="0" w:type="dxa"/>
              <w:left w:w="144" w:type="dxa"/>
              <w:bottom w:w="0" w:type="dxa"/>
              <w:right w:w="0" w:type="dxa"/>
            </w:tcMar>
            <w:vAlign w:val="bottom"/>
            <w:hideMark/>
          </w:tcPr>
          <w:p w14:paraId="5C510384" w14:textId="77777777" w:rsidR="00902E10" w:rsidRDefault="00902E10">
            <w:pPr>
              <w:pStyle w:val="NormalWeb"/>
              <w:tabs>
                <w:tab w:val="right" w:pos="1180"/>
                <w:tab w:val="decimal" w:pos="1220"/>
              </w:tabs>
              <w:spacing w:before="0" w:beforeAutospacing="0" w:after="20" w:afterAutospacing="0"/>
              <w:rPr>
                <w:rFonts w:ascii="Arial" w:hAnsi="Arial" w:cs="Arial"/>
                <w:sz w:val="15"/>
                <w:szCs w:val="15"/>
              </w:rPr>
            </w:pPr>
            <w:r>
              <w:rPr>
                <w:rFonts w:ascii="Arial" w:hAnsi="Arial" w:cs="Arial"/>
                <w:sz w:val="15"/>
                <w:szCs w:val="15"/>
              </w:rPr>
              <w:tab/>
              <w:t>1,661</w:t>
            </w:r>
            <w:r>
              <w:rPr>
                <w:rFonts w:ascii="Arial" w:hAnsi="Arial" w:cs="Arial"/>
                <w:sz w:val="15"/>
                <w:szCs w:val="15"/>
              </w:rPr>
              <w:tab/>
            </w:r>
          </w:p>
        </w:tc>
        <w:tc>
          <w:tcPr>
            <w:tcW w:w="1104" w:type="dxa"/>
            <w:tcBorders>
              <w:bottom w:val="single" w:sz="6" w:space="0" w:color="0075C9"/>
            </w:tcBorders>
            <w:noWrap/>
            <w:tcMar>
              <w:top w:w="0" w:type="dxa"/>
              <w:left w:w="144" w:type="dxa"/>
              <w:bottom w:w="0" w:type="dxa"/>
              <w:right w:w="0" w:type="dxa"/>
            </w:tcMar>
            <w:vAlign w:val="bottom"/>
            <w:hideMark/>
          </w:tcPr>
          <w:p w14:paraId="2B00BB7E" w14:textId="77777777" w:rsidR="00902E10" w:rsidRDefault="00902E10">
            <w:pPr>
              <w:pStyle w:val="NormalWeb"/>
              <w:tabs>
                <w:tab w:val="right" w:pos="920"/>
                <w:tab w:val="decimal" w:pos="960"/>
              </w:tabs>
              <w:spacing w:before="0" w:beforeAutospacing="0" w:after="20" w:afterAutospacing="0"/>
              <w:rPr>
                <w:rFonts w:ascii="Arial" w:hAnsi="Arial" w:cs="Arial"/>
                <w:sz w:val="15"/>
                <w:szCs w:val="15"/>
              </w:rPr>
            </w:pPr>
            <w:r>
              <w:rPr>
                <w:rFonts w:ascii="Arial" w:hAnsi="Arial" w:cs="Arial"/>
                <w:sz w:val="15"/>
                <w:szCs w:val="15"/>
              </w:rPr>
              <w:tab/>
              <w:t>63,444</w:t>
            </w:r>
            <w:r>
              <w:rPr>
                <w:rFonts w:ascii="Arial" w:hAnsi="Arial" w:cs="Arial"/>
                <w:sz w:val="15"/>
                <w:szCs w:val="15"/>
              </w:rPr>
              <w:tab/>
            </w:r>
          </w:p>
        </w:tc>
        <w:tc>
          <w:tcPr>
            <w:tcW w:w="1624" w:type="dxa"/>
            <w:tcBorders>
              <w:bottom w:val="single" w:sz="6" w:space="0" w:color="0075C9"/>
            </w:tcBorders>
            <w:noWrap/>
            <w:tcMar>
              <w:top w:w="0" w:type="dxa"/>
              <w:left w:w="144" w:type="dxa"/>
              <w:bottom w:w="0" w:type="dxa"/>
              <w:right w:w="0" w:type="dxa"/>
            </w:tcMar>
            <w:vAlign w:val="bottom"/>
            <w:hideMark/>
          </w:tcPr>
          <w:p w14:paraId="562590C3" w14:textId="77777777" w:rsidR="00902E10" w:rsidRDefault="00902E10">
            <w:pPr>
              <w:pStyle w:val="NormalWeb"/>
              <w:tabs>
                <w:tab w:val="right" w:pos="1440"/>
                <w:tab w:val="decimal" w:pos="1480"/>
              </w:tabs>
              <w:spacing w:before="0" w:beforeAutospacing="0" w:after="20" w:afterAutospacing="0"/>
              <w:rPr>
                <w:rFonts w:ascii="Arial" w:hAnsi="Arial" w:cs="Arial"/>
                <w:sz w:val="15"/>
                <w:szCs w:val="15"/>
              </w:rPr>
            </w:pPr>
            <w:r>
              <w:rPr>
                <w:rFonts w:ascii="Arial" w:hAnsi="Arial" w:cs="Arial"/>
                <w:sz w:val="15"/>
                <w:szCs w:val="15"/>
              </w:rPr>
              <w:tab/>
              <w:t>76,922</w:t>
            </w:r>
            <w:r>
              <w:rPr>
                <w:rFonts w:ascii="Arial" w:hAnsi="Arial" w:cs="Arial"/>
                <w:sz w:val="15"/>
                <w:szCs w:val="15"/>
              </w:rPr>
              <w:tab/>
            </w:r>
          </w:p>
        </w:tc>
        <w:tc>
          <w:tcPr>
            <w:tcW w:w="1084" w:type="dxa"/>
            <w:tcBorders>
              <w:bottom w:val="single" w:sz="6" w:space="0" w:color="0075C9"/>
            </w:tcBorders>
            <w:noWrap/>
            <w:tcMar>
              <w:top w:w="0" w:type="dxa"/>
              <w:left w:w="144" w:type="dxa"/>
              <w:bottom w:w="0" w:type="dxa"/>
              <w:right w:w="0" w:type="dxa"/>
            </w:tcMar>
            <w:vAlign w:val="bottom"/>
            <w:hideMark/>
          </w:tcPr>
          <w:p w14:paraId="7A2F6752" w14:textId="77777777" w:rsidR="00902E10" w:rsidRDefault="00902E10">
            <w:pPr>
              <w:pStyle w:val="NormalWeb"/>
              <w:tabs>
                <w:tab w:val="right" w:pos="900"/>
                <w:tab w:val="decimal" w:pos="940"/>
              </w:tabs>
              <w:spacing w:before="0" w:beforeAutospacing="0" w:after="20" w:afterAutospacing="0"/>
              <w:rPr>
                <w:rFonts w:ascii="Arial" w:hAnsi="Arial" w:cs="Arial"/>
                <w:sz w:val="15"/>
                <w:szCs w:val="15"/>
              </w:rPr>
            </w:pPr>
            <w:r>
              <w:rPr>
                <w:rFonts w:ascii="Arial" w:hAnsi="Arial" w:cs="Arial"/>
                <w:sz w:val="15"/>
                <w:szCs w:val="15"/>
              </w:rPr>
              <w:tab/>
              <w:t>152,277</w:t>
            </w:r>
            <w:r>
              <w:rPr>
                <w:rFonts w:ascii="Arial" w:hAnsi="Arial" w:cs="Arial"/>
                <w:sz w:val="15"/>
                <w:szCs w:val="15"/>
              </w:rPr>
              <w:tab/>
            </w:r>
          </w:p>
        </w:tc>
      </w:tr>
      <w:tr w:rsidR="00902E10" w14:paraId="5D8609B2" w14:textId="77777777" w:rsidTr="00FE0A0A">
        <w:trPr>
          <w:cantSplit/>
          <w:jc w:val="right"/>
        </w:trPr>
        <w:tc>
          <w:tcPr>
            <w:tcW w:w="3610" w:type="dxa"/>
            <w:tcBorders>
              <w:bottom w:val="single" w:sz="6" w:space="0" w:color="0075C9"/>
            </w:tcBorders>
            <w:tcMar>
              <w:top w:w="0" w:type="dxa"/>
              <w:left w:w="0" w:type="dxa"/>
              <w:bottom w:w="40" w:type="dxa"/>
              <w:right w:w="0" w:type="dxa"/>
            </w:tcMar>
            <w:hideMark/>
          </w:tcPr>
          <w:p w14:paraId="3B13F297" w14:textId="77777777" w:rsidR="00902E10" w:rsidRPr="00306F7C" w:rsidRDefault="00902E10">
            <w:pPr>
              <w:pStyle w:val="NormalWeb"/>
              <w:spacing w:before="0" w:beforeAutospacing="0" w:after="0" w:afterAutospacing="0"/>
              <w:ind w:left="384" w:hanging="240"/>
              <w:rPr>
                <w:rFonts w:ascii="Arial" w:hAnsi="Arial" w:cs="Arial"/>
                <w:sz w:val="15"/>
                <w:szCs w:val="15"/>
              </w:rPr>
            </w:pPr>
            <w:r>
              <w:rPr>
                <w:rFonts w:ascii="Arial" w:hAnsi="Arial" w:cs="Arial"/>
                <w:b/>
                <w:bCs/>
                <w:color w:val="0075C9"/>
                <w:sz w:val="15"/>
                <w:szCs w:val="15"/>
              </w:rPr>
              <w:t>Bradford L. Smith</w:t>
            </w:r>
          </w:p>
        </w:tc>
        <w:tc>
          <w:tcPr>
            <w:tcW w:w="1504" w:type="dxa"/>
            <w:tcBorders>
              <w:bottom w:val="single" w:sz="6" w:space="0" w:color="0075C9"/>
            </w:tcBorders>
            <w:noWrap/>
            <w:tcMar>
              <w:top w:w="0" w:type="dxa"/>
              <w:left w:w="144" w:type="dxa"/>
              <w:bottom w:w="0" w:type="dxa"/>
              <w:right w:w="0" w:type="dxa"/>
            </w:tcMar>
            <w:vAlign w:val="bottom"/>
            <w:hideMark/>
          </w:tcPr>
          <w:p w14:paraId="074E5C3B" w14:textId="77777777" w:rsidR="00902E10" w:rsidRDefault="00902E10">
            <w:pPr>
              <w:pStyle w:val="NormalWeb"/>
              <w:tabs>
                <w:tab w:val="right" w:pos="1320"/>
                <w:tab w:val="decimal" w:pos="1360"/>
              </w:tabs>
              <w:spacing w:before="0" w:beforeAutospacing="0" w:after="20" w:afterAutospacing="0"/>
              <w:rPr>
                <w:rFonts w:ascii="Arial" w:hAnsi="Arial" w:cs="Arial"/>
                <w:sz w:val="15"/>
                <w:szCs w:val="15"/>
              </w:rPr>
            </w:pPr>
            <w:r>
              <w:rPr>
                <w:rFonts w:ascii="Arial" w:hAnsi="Arial" w:cs="Arial"/>
                <w:sz w:val="15"/>
                <w:szCs w:val="15"/>
              </w:rPr>
              <w:tab/>
              <w:t>11,250</w:t>
            </w:r>
            <w:r>
              <w:rPr>
                <w:rFonts w:ascii="Arial" w:hAnsi="Arial" w:cs="Arial"/>
                <w:sz w:val="15"/>
                <w:szCs w:val="15"/>
              </w:rPr>
              <w:tab/>
            </w:r>
          </w:p>
        </w:tc>
        <w:tc>
          <w:tcPr>
            <w:tcW w:w="1364" w:type="dxa"/>
            <w:tcBorders>
              <w:bottom w:val="single" w:sz="6" w:space="0" w:color="0075C9"/>
            </w:tcBorders>
            <w:noWrap/>
            <w:tcMar>
              <w:top w:w="0" w:type="dxa"/>
              <w:left w:w="144" w:type="dxa"/>
              <w:bottom w:w="0" w:type="dxa"/>
              <w:right w:w="0" w:type="dxa"/>
            </w:tcMar>
            <w:vAlign w:val="bottom"/>
            <w:hideMark/>
          </w:tcPr>
          <w:p w14:paraId="643500F3" w14:textId="77777777" w:rsidR="00902E10" w:rsidRDefault="00902E10">
            <w:pPr>
              <w:pStyle w:val="NormalWeb"/>
              <w:tabs>
                <w:tab w:val="right" w:pos="1180"/>
                <w:tab w:val="decimal" w:pos="1220"/>
              </w:tabs>
              <w:spacing w:before="0" w:beforeAutospacing="0" w:after="20" w:afterAutospacing="0"/>
              <w:rPr>
                <w:rFonts w:ascii="Arial" w:hAnsi="Arial" w:cs="Arial"/>
                <w:sz w:val="15"/>
                <w:szCs w:val="15"/>
              </w:rPr>
            </w:pPr>
            <w:r>
              <w:rPr>
                <w:rFonts w:ascii="Arial" w:hAnsi="Arial" w:cs="Arial"/>
                <w:sz w:val="15"/>
                <w:szCs w:val="15"/>
              </w:rPr>
              <w:tab/>
              <w:t>1,368</w:t>
            </w:r>
            <w:r>
              <w:rPr>
                <w:rFonts w:ascii="Arial" w:hAnsi="Arial" w:cs="Arial"/>
                <w:sz w:val="15"/>
                <w:szCs w:val="15"/>
              </w:rPr>
              <w:tab/>
            </w:r>
          </w:p>
        </w:tc>
        <w:tc>
          <w:tcPr>
            <w:tcW w:w="1104" w:type="dxa"/>
            <w:tcBorders>
              <w:bottom w:val="single" w:sz="6" w:space="0" w:color="0075C9"/>
            </w:tcBorders>
            <w:noWrap/>
            <w:tcMar>
              <w:top w:w="0" w:type="dxa"/>
              <w:left w:w="144" w:type="dxa"/>
              <w:bottom w:w="0" w:type="dxa"/>
              <w:right w:w="0" w:type="dxa"/>
            </w:tcMar>
            <w:vAlign w:val="bottom"/>
            <w:hideMark/>
          </w:tcPr>
          <w:p w14:paraId="607248FC" w14:textId="77777777" w:rsidR="00902E10" w:rsidRDefault="00902E10">
            <w:pPr>
              <w:pStyle w:val="NormalWeb"/>
              <w:tabs>
                <w:tab w:val="right" w:pos="920"/>
                <w:tab w:val="decimal" w:pos="960"/>
              </w:tabs>
              <w:spacing w:before="0" w:beforeAutospacing="0" w:after="20" w:afterAutospacing="0"/>
              <w:rPr>
                <w:rFonts w:ascii="Arial" w:hAnsi="Arial" w:cs="Arial"/>
                <w:sz w:val="15"/>
                <w:szCs w:val="15"/>
              </w:rPr>
            </w:pPr>
            <w:r>
              <w:rPr>
                <w:rFonts w:ascii="Arial" w:hAnsi="Arial" w:cs="Arial"/>
                <w:sz w:val="15"/>
                <w:szCs w:val="15"/>
              </w:rPr>
              <w:tab/>
              <w:t>100,000</w:t>
            </w:r>
            <w:r>
              <w:rPr>
                <w:rFonts w:ascii="Arial" w:hAnsi="Arial" w:cs="Arial"/>
                <w:sz w:val="15"/>
                <w:szCs w:val="15"/>
              </w:rPr>
              <w:tab/>
            </w:r>
          </w:p>
        </w:tc>
        <w:tc>
          <w:tcPr>
            <w:tcW w:w="1624" w:type="dxa"/>
            <w:tcBorders>
              <w:bottom w:val="single" w:sz="6" w:space="0" w:color="0075C9"/>
            </w:tcBorders>
            <w:noWrap/>
            <w:tcMar>
              <w:top w:w="0" w:type="dxa"/>
              <w:left w:w="144" w:type="dxa"/>
              <w:bottom w:w="0" w:type="dxa"/>
              <w:right w:w="0" w:type="dxa"/>
            </w:tcMar>
            <w:vAlign w:val="bottom"/>
            <w:hideMark/>
          </w:tcPr>
          <w:p w14:paraId="1B66DC2B" w14:textId="77777777" w:rsidR="00902E10" w:rsidRDefault="00902E10">
            <w:pPr>
              <w:pStyle w:val="NormalWeb"/>
              <w:tabs>
                <w:tab w:val="right" w:pos="1440"/>
                <w:tab w:val="decimal" w:pos="1480"/>
              </w:tabs>
              <w:spacing w:before="0" w:beforeAutospacing="0" w:after="20" w:afterAutospacing="0"/>
              <w:rPr>
                <w:rFonts w:ascii="Arial" w:hAnsi="Arial" w:cs="Arial"/>
                <w:sz w:val="15"/>
                <w:szCs w:val="15"/>
              </w:rPr>
            </w:pPr>
            <w:r>
              <w:rPr>
                <w:rFonts w:ascii="Arial" w:hAnsi="Arial" w:cs="Arial"/>
                <w:sz w:val="15"/>
                <w:szCs w:val="15"/>
              </w:rPr>
              <w:tab/>
              <w:t>100,159</w:t>
            </w:r>
            <w:r>
              <w:rPr>
                <w:rFonts w:ascii="Arial" w:hAnsi="Arial" w:cs="Arial"/>
                <w:sz w:val="15"/>
                <w:szCs w:val="15"/>
              </w:rPr>
              <w:tab/>
            </w:r>
          </w:p>
        </w:tc>
        <w:tc>
          <w:tcPr>
            <w:tcW w:w="1084" w:type="dxa"/>
            <w:tcBorders>
              <w:bottom w:val="single" w:sz="6" w:space="0" w:color="0075C9"/>
            </w:tcBorders>
            <w:noWrap/>
            <w:tcMar>
              <w:top w:w="0" w:type="dxa"/>
              <w:left w:w="144" w:type="dxa"/>
              <w:bottom w:w="0" w:type="dxa"/>
              <w:right w:w="0" w:type="dxa"/>
            </w:tcMar>
            <w:vAlign w:val="bottom"/>
            <w:hideMark/>
          </w:tcPr>
          <w:p w14:paraId="54191152" w14:textId="77777777" w:rsidR="00902E10" w:rsidRDefault="00902E10">
            <w:pPr>
              <w:pStyle w:val="NormalWeb"/>
              <w:tabs>
                <w:tab w:val="right" w:pos="900"/>
                <w:tab w:val="decimal" w:pos="940"/>
              </w:tabs>
              <w:spacing w:before="0" w:beforeAutospacing="0" w:after="20" w:afterAutospacing="0"/>
              <w:rPr>
                <w:rFonts w:ascii="Arial" w:hAnsi="Arial" w:cs="Arial"/>
                <w:sz w:val="15"/>
                <w:szCs w:val="15"/>
              </w:rPr>
            </w:pPr>
            <w:r>
              <w:rPr>
                <w:rFonts w:ascii="Arial" w:hAnsi="Arial" w:cs="Arial"/>
                <w:sz w:val="15"/>
                <w:szCs w:val="15"/>
              </w:rPr>
              <w:tab/>
              <w:t>212,777</w:t>
            </w:r>
            <w:r>
              <w:rPr>
                <w:rFonts w:ascii="Arial" w:hAnsi="Arial" w:cs="Arial"/>
                <w:sz w:val="15"/>
                <w:szCs w:val="15"/>
              </w:rPr>
              <w:tab/>
            </w:r>
          </w:p>
        </w:tc>
      </w:tr>
      <w:tr w:rsidR="00902E10" w14:paraId="5E1A7BA3" w14:textId="77777777" w:rsidTr="00FE0A0A">
        <w:trPr>
          <w:cantSplit/>
          <w:jc w:val="right"/>
        </w:trPr>
        <w:tc>
          <w:tcPr>
            <w:tcW w:w="3610" w:type="dxa"/>
            <w:tcBorders>
              <w:bottom w:val="single" w:sz="6" w:space="0" w:color="0075C9"/>
            </w:tcBorders>
            <w:tcMar>
              <w:top w:w="0" w:type="dxa"/>
              <w:left w:w="0" w:type="dxa"/>
              <w:bottom w:w="40" w:type="dxa"/>
              <w:right w:w="0" w:type="dxa"/>
            </w:tcMar>
            <w:hideMark/>
          </w:tcPr>
          <w:p w14:paraId="57D70830" w14:textId="77777777" w:rsidR="00902E10" w:rsidRPr="00306F7C" w:rsidRDefault="00902E10">
            <w:pPr>
              <w:pStyle w:val="NormalWeb"/>
              <w:spacing w:before="0" w:beforeAutospacing="0" w:after="0" w:afterAutospacing="0"/>
              <w:ind w:left="384" w:hanging="240"/>
              <w:rPr>
                <w:rFonts w:ascii="Arial" w:hAnsi="Arial" w:cs="Arial"/>
                <w:sz w:val="15"/>
                <w:szCs w:val="15"/>
              </w:rPr>
            </w:pPr>
            <w:r>
              <w:rPr>
                <w:rFonts w:ascii="Arial" w:hAnsi="Arial" w:cs="Arial"/>
                <w:b/>
                <w:bCs/>
                <w:color w:val="0075C9"/>
                <w:sz w:val="15"/>
                <w:szCs w:val="15"/>
              </w:rPr>
              <w:t>Christopher D. Young</w:t>
            </w:r>
          </w:p>
        </w:tc>
        <w:tc>
          <w:tcPr>
            <w:tcW w:w="1504" w:type="dxa"/>
            <w:tcBorders>
              <w:bottom w:val="single" w:sz="6" w:space="0" w:color="0075C9"/>
            </w:tcBorders>
            <w:noWrap/>
            <w:tcMar>
              <w:top w:w="0" w:type="dxa"/>
              <w:left w:w="144" w:type="dxa"/>
              <w:bottom w:w="0" w:type="dxa"/>
              <w:right w:w="0" w:type="dxa"/>
            </w:tcMar>
            <w:vAlign w:val="bottom"/>
            <w:hideMark/>
          </w:tcPr>
          <w:p w14:paraId="6F61FD04" w14:textId="77777777" w:rsidR="00902E10" w:rsidRDefault="00902E10">
            <w:pPr>
              <w:pStyle w:val="NormalWeb"/>
              <w:tabs>
                <w:tab w:val="right" w:pos="1320"/>
                <w:tab w:val="decimal" w:pos="1360"/>
              </w:tabs>
              <w:spacing w:before="0" w:beforeAutospacing="0" w:after="20" w:afterAutospacing="0"/>
              <w:rPr>
                <w:rFonts w:ascii="Arial" w:hAnsi="Arial" w:cs="Arial"/>
                <w:sz w:val="15"/>
                <w:szCs w:val="15"/>
              </w:rPr>
            </w:pPr>
            <w:r>
              <w:rPr>
                <w:rFonts w:ascii="Arial" w:hAnsi="Arial" w:cs="Arial"/>
                <w:sz w:val="15"/>
                <w:szCs w:val="15"/>
              </w:rPr>
              <w:tab/>
              <w:t>12,375</w:t>
            </w:r>
            <w:r>
              <w:rPr>
                <w:rFonts w:ascii="Arial" w:hAnsi="Arial" w:cs="Arial"/>
                <w:sz w:val="15"/>
                <w:szCs w:val="15"/>
              </w:rPr>
              <w:tab/>
            </w:r>
          </w:p>
        </w:tc>
        <w:tc>
          <w:tcPr>
            <w:tcW w:w="1364" w:type="dxa"/>
            <w:tcBorders>
              <w:bottom w:val="single" w:sz="6" w:space="0" w:color="0075C9"/>
            </w:tcBorders>
            <w:noWrap/>
            <w:tcMar>
              <w:top w:w="0" w:type="dxa"/>
              <w:left w:w="144" w:type="dxa"/>
              <w:bottom w:w="0" w:type="dxa"/>
              <w:right w:w="0" w:type="dxa"/>
            </w:tcMar>
            <w:vAlign w:val="bottom"/>
            <w:hideMark/>
          </w:tcPr>
          <w:p w14:paraId="1D346BA8" w14:textId="77777777" w:rsidR="00902E10" w:rsidRDefault="00902E10">
            <w:pPr>
              <w:pStyle w:val="NormalWeb"/>
              <w:tabs>
                <w:tab w:val="right" w:pos="1180"/>
                <w:tab w:val="decimal" w:pos="1220"/>
              </w:tabs>
              <w:spacing w:before="0" w:beforeAutospacing="0" w:after="20" w:afterAutospacing="0"/>
              <w:rPr>
                <w:rFonts w:ascii="Arial" w:hAnsi="Arial" w:cs="Arial"/>
                <w:sz w:val="15"/>
                <w:szCs w:val="15"/>
              </w:rPr>
            </w:pPr>
            <w:r>
              <w:rPr>
                <w:rFonts w:ascii="Arial" w:hAnsi="Arial" w:cs="Arial"/>
                <w:sz w:val="15"/>
                <w:szCs w:val="15"/>
              </w:rPr>
              <w:tab/>
              <w:t>536</w:t>
            </w:r>
            <w:r>
              <w:rPr>
                <w:rFonts w:ascii="Arial" w:hAnsi="Arial" w:cs="Arial"/>
                <w:sz w:val="15"/>
                <w:szCs w:val="15"/>
              </w:rPr>
              <w:tab/>
            </w:r>
          </w:p>
        </w:tc>
        <w:tc>
          <w:tcPr>
            <w:tcW w:w="1104" w:type="dxa"/>
            <w:tcBorders>
              <w:bottom w:val="single" w:sz="6" w:space="0" w:color="0075C9"/>
            </w:tcBorders>
            <w:noWrap/>
            <w:tcMar>
              <w:top w:w="0" w:type="dxa"/>
              <w:left w:w="144" w:type="dxa"/>
              <w:bottom w:w="0" w:type="dxa"/>
              <w:right w:w="0" w:type="dxa"/>
            </w:tcMar>
            <w:vAlign w:val="bottom"/>
            <w:hideMark/>
          </w:tcPr>
          <w:p w14:paraId="7F12C067" w14:textId="77777777" w:rsidR="00902E10" w:rsidRDefault="00902E10">
            <w:pPr>
              <w:pStyle w:val="NormalWeb"/>
              <w:tabs>
                <w:tab w:val="right" w:pos="920"/>
                <w:tab w:val="decimal" w:pos="960"/>
              </w:tabs>
              <w:spacing w:before="0" w:beforeAutospacing="0" w:after="20" w:afterAutospacing="0"/>
              <w:rPr>
                <w:rFonts w:ascii="Arial" w:hAnsi="Arial" w:cs="Arial"/>
                <w:sz w:val="15"/>
                <w:szCs w:val="15"/>
              </w:rPr>
            </w:pPr>
            <w:r>
              <w:rPr>
                <w:rFonts w:ascii="Arial" w:hAnsi="Arial" w:cs="Arial"/>
                <w:sz w:val="15"/>
                <w:szCs w:val="15"/>
              </w:rPr>
              <w:tab/>
              <w:t>135,096</w:t>
            </w:r>
            <w:r>
              <w:rPr>
                <w:rFonts w:ascii="Arial" w:hAnsi="Arial" w:cs="Arial"/>
                <w:sz w:val="15"/>
                <w:szCs w:val="15"/>
              </w:rPr>
              <w:tab/>
            </w:r>
          </w:p>
        </w:tc>
        <w:tc>
          <w:tcPr>
            <w:tcW w:w="1624" w:type="dxa"/>
            <w:tcBorders>
              <w:bottom w:val="single" w:sz="6" w:space="0" w:color="0075C9"/>
            </w:tcBorders>
            <w:noWrap/>
            <w:tcMar>
              <w:top w:w="0" w:type="dxa"/>
              <w:left w:w="144" w:type="dxa"/>
              <w:bottom w:w="0" w:type="dxa"/>
              <w:right w:w="0" w:type="dxa"/>
            </w:tcMar>
            <w:vAlign w:val="bottom"/>
            <w:hideMark/>
          </w:tcPr>
          <w:p w14:paraId="0D6C2E5A" w14:textId="77777777" w:rsidR="00902E10" w:rsidRDefault="00902E10">
            <w:pPr>
              <w:pStyle w:val="NormalWeb"/>
              <w:tabs>
                <w:tab w:val="right" w:pos="1440"/>
                <w:tab w:val="decimal" w:pos="1480"/>
              </w:tabs>
              <w:spacing w:before="0" w:beforeAutospacing="0" w:after="20" w:afterAutospacing="0"/>
              <w:rPr>
                <w:rFonts w:ascii="Arial" w:hAnsi="Arial" w:cs="Arial"/>
                <w:sz w:val="15"/>
                <w:szCs w:val="15"/>
              </w:rPr>
            </w:pPr>
            <w:r>
              <w:rPr>
                <w:rFonts w:ascii="Arial" w:hAnsi="Arial" w:cs="Arial"/>
                <w:sz w:val="15"/>
                <w:szCs w:val="15"/>
              </w:rPr>
              <w:tab/>
              <w:t>15,120</w:t>
            </w:r>
            <w:r>
              <w:rPr>
                <w:rFonts w:ascii="Arial" w:hAnsi="Arial" w:cs="Arial"/>
                <w:sz w:val="15"/>
                <w:szCs w:val="15"/>
              </w:rPr>
              <w:tab/>
            </w:r>
          </w:p>
        </w:tc>
        <w:tc>
          <w:tcPr>
            <w:tcW w:w="1084" w:type="dxa"/>
            <w:tcBorders>
              <w:bottom w:val="single" w:sz="6" w:space="0" w:color="0075C9"/>
            </w:tcBorders>
            <w:noWrap/>
            <w:tcMar>
              <w:top w:w="0" w:type="dxa"/>
              <w:left w:w="144" w:type="dxa"/>
              <w:bottom w:w="0" w:type="dxa"/>
              <w:right w:w="0" w:type="dxa"/>
            </w:tcMar>
            <w:vAlign w:val="bottom"/>
            <w:hideMark/>
          </w:tcPr>
          <w:p w14:paraId="0A3ADAC9" w14:textId="77777777" w:rsidR="00902E10" w:rsidRDefault="00902E10">
            <w:pPr>
              <w:pStyle w:val="NormalWeb"/>
              <w:tabs>
                <w:tab w:val="right" w:pos="900"/>
                <w:tab w:val="decimal" w:pos="940"/>
              </w:tabs>
              <w:spacing w:before="0" w:beforeAutospacing="0" w:after="20" w:afterAutospacing="0"/>
              <w:rPr>
                <w:rFonts w:ascii="Arial" w:hAnsi="Arial" w:cs="Arial"/>
                <w:sz w:val="15"/>
                <w:szCs w:val="15"/>
              </w:rPr>
            </w:pPr>
            <w:r>
              <w:rPr>
                <w:rFonts w:ascii="Arial" w:hAnsi="Arial" w:cs="Arial"/>
                <w:sz w:val="15"/>
                <w:szCs w:val="15"/>
              </w:rPr>
              <w:tab/>
              <w:t>163,127</w:t>
            </w:r>
            <w:r>
              <w:rPr>
                <w:rFonts w:ascii="Arial" w:hAnsi="Arial" w:cs="Arial"/>
                <w:sz w:val="15"/>
                <w:szCs w:val="15"/>
              </w:rPr>
              <w:tab/>
            </w:r>
          </w:p>
        </w:tc>
      </w:tr>
    </w:tbl>
    <w:p w14:paraId="39060C88" w14:textId="77777777" w:rsidR="00D246A9" w:rsidRPr="00306F7C" w:rsidRDefault="00D246A9">
      <w:pPr>
        <w:pStyle w:val="NormalWeb"/>
        <w:spacing w:before="80" w:beforeAutospacing="0" w:after="0" w:afterAutospacing="0"/>
        <w:ind w:left="734" w:hanging="367"/>
        <w:rPr>
          <w:rFonts w:ascii="Arial" w:hAnsi="Arial" w:cs="Arial"/>
          <w:sz w:val="14"/>
          <w:szCs w:val="14"/>
        </w:rPr>
      </w:pPr>
      <w:r>
        <w:rPr>
          <w:rFonts w:ascii="Arial" w:hAnsi="Arial" w:cs="Arial"/>
          <w:sz w:val="14"/>
          <w:szCs w:val="14"/>
        </w:rPr>
        <w:t>(A)</w:t>
      </w:r>
      <w:r>
        <w:rPr>
          <w:rFonts w:ascii="Arial" w:hAnsi="Arial" w:cs="Arial"/>
          <w:sz w:val="14"/>
          <w:szCs w:val="14"/>
        </w:rPr>
        <w:tab/>
        <w:t xml:space="preserve">Includes 401(k) plan matching contributions. </w:t>
      </w:r>
    </w:p>
    <w:p w14:paraId="381BA1F6" w14:textId="77777777" w:rsidR="00D246A9" w:rsidRDefault="00D246A9">
      <w:pPr>
        <w:pStyle w:val="NormalWeb"/>
        <w:spacing w:before="80" w:beforeAutospacing="0" w:after="0" w:afterAutospacing="0"/>
        <w:ind w:left="734" w:hanging="367"/>
        <w:rPr>
          <w:rFonts w:ascii="Arial" w:hAnsi="Arial" w:cs="Arial"/>
          <w:sz w:val="14"/>
          <w:szCs w:val="14"/>
        </w:rPr>
      </w:pPr>
      <w:r>
        <w:rPr>
          <w:rFonts w:ascii="Arial" w:hAnsi="Arial" w:cs="Arial"/>
          <w:sz w:val="14"/>
          <w:szCs w:val="14"/>
        </w:rPr>
        <w:t>(B)</w:t>
      </w:r>
      <w:r>
        <w:rPr>
          <w:rFonts w:ascii="Arial" w:hAnsi="Arial" w:cs="Arial"/>
          <w:sz w:val="14"/>
          <w:szCs w:val="14"/>
        </w:rPr>
        <w:tab/>
        <w:t xml:space="preserve">Includes payments in lieu of athletic club membership and credits for waived life insurance coverage under programs that are available to substantially all our U.S.-based employees. </w:t>
      </w:r>
    </w:p>
    <w:p w14:paraId="17212B11" w14:textId="77777777" w:rsidR="00D246A9" w:rsidRDefault="00D246A9">
      <w:pPr>
        <w:pStyle w:val="NormalWeb"/>
        <w:spacing w:before="80" w:beforeAutospacing="0" w:after="0" w:afterAutospacing="0"/>
        <w:ind w:left="734" w:hanging="367"/>
        <w:rPr>
          <w:rFonts w:ascii="Arial" w:hAnsi="Arial" w:cs="Arial"/>
          <w:sz w:val="14"/>
          <w:szCs w:val="14"/>
        </w:rPr>
      </w:pPr>
      <w:r>
        <w:rPr>
          <w:rFonts w:ascii="Arial" w:hAnsi="Arial" w:cs="Arial"/>
          <w:sz w:val="14"/>
          <w:szCs w:val="14"/>
        </w:rPr>
        <w:t>(C)</w:t>
      </w:r>
      <w:r>
        <w:rPr>
          <w:rFonts w:ascii="Arial" w:hAnsi="Arial" w:cs="Arial"/>
          <w:sz w:val="14"/>
          <w:szCs w:val="14"/>
        </w:rPr>
        <w:tab/>
        <w:t xml:space="preserve">Includes matching charitable contributions under our corporate giving program. </w:t>
      </w:r>
    </w:p>
    <w:p w14:paraId="6E7DF6B3" w14:textId="77777777" w:rsidR="00D246A9" w:rsidRDefault="00D246A9">
      <w:pPr>
        <w:pStyle w:val="NormalWeb"/>
        <w:spacing w:before="80" w:beforeAutospacing="0" w:after="0" w:afterAutospacing="0"/>
        <w:ind w:left="734" w:hanging="367"/>
        <w:rPr>
          <w:rFonts w:ascii="Arial" w:hAnsi="Arial" w:cs="Arial"/>
          <w:sz w:val="14"/>
          <w:szCs w:val="14"/>
        </w:rPr>
      </w:pPr>
      <w:r>
        <w:rPr>
          <w:rFonts w:ascii="Arial" w:hAnsi="Arial" w:cs="Arial"/>
          <w:sz w:val="14"/>
          <w:szCs w:val="14"/>
        </w:rPr>
        <w:t>(D)</w:t>
      </w:r>
      <w:r>
        <w:rPr>
          <w:rFonts w:ascii="Arial" w:hAnsi="Arial" w:cs="Arial"/>
          <w:sz w:val="14"/>
          <w:szCs w:val="14"/>
        </w:rPr>
        <w:tab/>
        <w:t xml:space="preserve">Includes one-time paid-time off payout of vacation accrual balances available to substantially all our exempt U.S.-based employees as a result of the company-wide policy transition for exempt U.S. based employees from accrual-based vacation to discretionary time off. </w:t>
      </w:r>
    </w:p>
    <w:p w14:paraId="716E34D3"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Mr. Young’s stock awards for fiscal year 2021 include an on-hire stock award with a value of $17,536,215 made in connection with the commencement of his employment. </w:t>
      </w:r>
    </w:p>
    <w:p w14:paraId="2BED6FF9" w14:textId="77777777" w:rsidR="00D246A9" w:rsidRDefault="00D246A9">
      <w:pPr>
        <w:pStyle w:val="NormalWeb"/>
        <w:spacing w:before="270" w:beforeAutospacing="0" w:after="0" w:afterAutospacing="0"/>
        <w:rPr>
          <w:sz w:val="2"/>
          <w:szCs w:val="2"/>
        </w:rPr>
      </w:pPr>
      <w:r>
        <w:rPr>
          <w:sz w:val="2"/>
          <w:szCs w:val="2"/>
        </w:rPr>
        <w:t> </w:t>
      </w:r>
    </w:p>
    <w:p w14:paraId="4EED7DE5" w14:textId="77777777" w:rsidR="00D246A9" w:rsidRDefault="00D246A9" w:rsidP="008E18EB">
      <w:pPr>
        <w:pStyle w:val="Heading4"/>
      </w:pPr>
      <w:bookmarkStart w:id="18" w:name="toc356108_19"/>
      <w:bookmarkEnd w:id="18"/>
      <w:r>
        <w:lastRenderedPageBreak/>
        <w:t xml:space="preserve">Grants of Plan-Based Awards </w:t>
      </w:r>
    </w:p>
    <w:p w14:paraId="08039D4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provides information on grants of awards under any plan to the Named Executives in the fiscal year </w:t>
      </w:r>
      <w:proofErr w:type="gramStart"/>
      <w:r>
        <w:rPr>
          <w:rFonts w:ascii="Arial" w:hAnsi="Arial" w:cs="Arial"/>
          <w:sz w:val="18"/>
          <w:szCs w:val="18"/>
        </w:rPr>
        <w:t>ended</w:t>
      </w:r>
      <w:proofErr w:type="gramEnd"/>
      <w:r>
        <w:rPr>
          <w:rFonts w:ascii="Arial" w:hAnsi="Arial" w:cs="Arial"/>
          <w:sz w:val="18"/>
          <w:szCs w:val="18"/>
        </w:rPr>
        <w:t xml:space="preserve"> June 30, 2023. </w:t>
      </w:r>
    </w:p>
    <w:p w14:paraId="0DB458AD" w14:textId="77777777" w:rsidR="00D246A9" w:rsidRDefault="00D246A9">
      <w:pPr>
        <w:pStyle w:val="NormalWeb"/>
        <w:keepNext/>
        <w:spacing w:before="0" w:beforeAutospacing="0" w:after="0" w:afterAutospacing="0"/>
      </w:pPr>
      <w:r>
        <w:t> </w:t>
      </w:r>
    </w:p>
    <w:tbl>
      <w:tblPr>
        <w:tblW w:w="10926" w:type="dxa"/>
        <w:tblLayout w:type="fixed"/>
        <w:tblCellMar>
          <w:left w:w="0" w:type="dxa"/>
          <w:right w:w="0" w:type="dxa"/>
        </w:tblCellMar>
        <w:tblLook w:val="04A0" w:firstRow="1" w:lastRow="0" w:firstColumn="1" w:lastColumn="0" w:noHBand="0" w:noVBand="1"/>
      </w:tblPr>
      <w:tblGrid>
        <w:gridCol w:w="1575"/>
        <w:gridCol w:w="1512"/>
        <w:gridCol w:w="921"/>
        <w:gridCol w:w="869"/>
        <w:gridCol w:w="904"/>
        <w:gridCol w:w="886"/>
        <w:gridCol w:w="938"/>
        <w:gridCol w:w="714"/>
        <w:gridCol w:w="938"/>
        <w:gridCol w:w="679"/>
        <w:gridCol w:w="990"/>
      </w:tblGrid>
      <w:tr w:rsidR="00D246A9" w14:paraId="5714A055" w14:textId="77777777" w:rsidTr="00D87FF2">
        <w:trPr>
          <w:tblHeader/>
        </w:trPr>
        <w:tc>
          <w:tcPr>
            <w:tcW w:w="1575" w:type="dxa"/>
            <w:vMerge w:val="restart"/>
            <w:tcBorders>
              <w:bottom w:val="single" w:sz="8" w:space="0" w:color="000000"/>
            </w:tcBorders>
            <w:tcMar>
              <w:top w:w="0" w:type="dxa"/>
              <w:left w:w="0" w:type="dxa"/>
              <w:bottom w:w="40" w:type="dxa"/>
              <w:right w:w="0" w:type="dxa"/>
            </w:tcMar>
            <w:vAlign w:val="bottom"/>
            <w:hideMark/>
          </w:tcPr>
          <w:p w14:paraId="3AC73887" w14:textId="77777777" w:rsidR="00D246A9" w:rsidRPr="00306F7C" w:rsidRDefault="00D246A9">
            <w:pPr>
              <w:pStyle w:val="NormalWeb"/>
              <w:keepNext/>
              <w:spacing w:before="0" w:beforeAutospacing="0" w:after="0" w:afterAutospacing="0"/>
              <w:ind w:firstLine="151"/>
              <w:rPr>
                <w:rFonts w:ascii="Arial" w:hAnsi="Arial" w:cs="Arial"/>
                <w:sz w:val="16"/>
                <w:szCs w:val="16"/>
              </w:rPr>
            </w:pPr>
            <w:r>
              <w:rPr>
                <w:rFonts w:ascii="Arial" w:hAnsi="Arial" w:cs="Arial"/>
                <w:b/>
                <w:bCs/>
                <w:sz w:val="16"/>
                <w:szCs w:val="16"/>
              </w:rPr>
              <w:t>Named</w:t>
            </w:r>
          </w:p>
          <w:p w14:paraId="07D05608" w14:textId="77777777" w:rsidR="00D246A9" w:rsidRDefault="00D246A9">
            <w:pPr>
              <w:pStyle w:val="NormalWeb"/>
              <w:keepNext/>
              <w:spacing w:before="0" w:beforeAutospacing="0" w:after="20" w:afterAutospacing="0"/>
              <w:ind w:firstLine="151"/>
              <w:rPr>
                <w:rFonts w:ascii="Arial" w:hAnsi="Arial" w:cs="Arial"/>
                <w:sz w:val="16"/>
                <w:szCs w:val="16"/>
              </w:rPr>
            </w:pPr>
            <w:r>
              <w:rPr>
                <w:rFonts w:ascii="Arial" w:hAnsi="Arial" w:cs="Arial"/>
                <w:b/>
                <w:bCs/>
                <w:sz w:val="16"/>
                <w:szCs w:val="16"/>
              </w:rPr>
              <w:t>Executive</w:t>
            </w:r>
          </w:p>
        </w:tc>
        <w:tc>
          <w:tcPr>
            <w:tcW w:w="1512" w:type="dxa"/>
            <w:vMerge w:val="restart"/>
            <w:tcBorders>
              <w:bottom w:val="single" w:sz="8" w:space="0" w:color="000000"/>
            </w:tcBorders>
            <w:tcMar>
              <w:top w:w="0" w:type="dxa"/>
              <w:left w:w="0" w:type="dxa"/>
              <w:bottom w:w="0" w:type="dxa"/>
              <w:right w:w="0" w:type="dxa"/>
            </w:tcMar>
            <w:vAlign w:val="bottom"/>
            <w:hideMark/>
          </w:tcPr>
          <w:p w14:paraId="5E813337" w14:textId="77777777" w:rsidR="00D246A9" w:rsidRDefault="00D246A9">
            <w:pPr>
              <w:rPr>
                <w:rFonts w:ascii="Arial" w:hAnsi="Arial" w:cs="Arial"/>
                <w:sz w:val="16"/>
                <w:szCs w:val="16"/>
              </w:rPr>
            </w:pPr>
            <w:r>
              <w:rPr>
                <w:rFonts w:ascii="Arial" w:hAnsi="Arial" w:cs="Arial"/>
                <w:b/>
                <w:bCs/>
                <w:sz w:val="16"/>
                <w:szCs w:val="16"/>
              </w:rPr>
              <w:t>Award</w:t>
            </w:r>
            <w:r>
              <w:rPr>
                <w:rFonts w:ascii="Arial" w:hAnsi="Arial" w:cs="Arial"/>
                <w:b/>
                <w:bCs/>
                <w:sz w:val="12"/>
                <w:szCs w:val="12"/>
                <w:vertAlign w:val="superscript"/>
              </w:rPr>
              <w:t>1</w:t>
            </w:r>
          </w:p>
        </w:tc>
        <w:tc>
          <w:tcPr>
            <w:tcW w:w="921" w:type="dxa"/>
            <w:vMerge w:val="restart"/>
            <w:tcBorders>
              <w:bottom w:val="single" w:sz="8" w:space="0" w:color="000000"/>
            </w:tcBorders>
            <w:tcMar>
              <w:top w:w="0" w:type="dxa"/>
              <w:left w:w="0" w:type="dxa"/>
              <w:bottom w:w="0" w:type="dxa"/>
              <w:right w:w="0" w:type="dxa"/>
            </w:tcMar>
            <w:vAlign w:val="bottom"/>
            <w:hideMark/>
          </w:tcPr>
          <w:p w14:paraId="1D96BBAB" w14:textId="77777777" w:rsidR="00D246A9" w:rsidRDefault="00D246A9">
            <w:pPr>
              <w:rPr>
                <w:rFonts w:ascii="Arial" w:hAnsi="Arial" w:cs="Arial"/>
                <w:sz w:val="16"/>
                <w:szCs w:val="16"/>
              </w:rPr>
            </w:pPr>
            <w:r>
              <w:rPr>
                <w:rFonts w:ascii="Arial" w:hAnsi="Arial" w:cs="Arial"/>
                <w:b/>
                <w:bCs/>
                <w:sz w:val="16"/>
                <w:szCs w:val="16"/>
              </w:rPr>
              <w:t>Grant Date</w:t>
            </w:r>
          </w:p>
        </w:tc>
        <w:tc>
          <w:tcPr>
            <w:tcW w:w="2659" w:type="dxa"/>
            <w:gridSpan w:val="3"/>
            <w:tcMar>
              <w:top w:w="0" w:type="dxa"/>
              <w:left w:w="0" w:type="dxa"/>
              <w:bottom w:w="0" w:type="dxa"/>
              <w:right w:w="0" w:type="dxa"/>
            </w:tcMar>
            <w:vAlign w:val="bottom"/>
            <w:hideMark/>
          </w:tcPr>
          <w:p w14:paraId="3AAA5E2C" w14:textId="77777777" w:rsidR="00D246A9" w:rsidRDefault="00D246A9">
            <w:pPr>
              <w:jc w:val="center"/>
              <w:rPr>
                <w:rFonts w:ascii="Arial" w:hAnsi="Arial" w:cs="Arial"/>
                <w:sz w:val="16"/>
                <w:szCs w:val="16"/>
              </w:rPr>
            </w:pPr>
            <w:r>
              <w:rPr>
                <w:rFonts w:ascii="Arial" w:hAnsi="Arial" w:cs="Arial"/>
                <w:b/>
                <w:bCs/>
                <w:sz w:val="16"/>
                <w:szCs w:val="16"/>
              </w:rPr>
              <w:t>Estimated Possible Payouts under</w:t>
            </w:r>
            <w:r>
              <w:rPr>
                <w:rFonts w:ascii="Arial" w:hAnsi="Arial" w:cs="Arial"/>
                <w:sz w:val="16"/>
                <w:szCs w:val="16"/>
              </w:rPr>
              <w:br/>
            </w:r>
            <w:r>
              <w:rPr>
                <w:rFonts w:ascii="Arial" w:hAnsi="Arial" w:cs="Arial"/>
                <w:b/>
                <w:bCs/>
                <w:sz w:val="16"/>
                <w:szCs w:val="16"/>
              </w:rPr>
              <w:t>Non-Equity</w:t>
            </w:r>
            <w:r>
              <w:rPr>
                <w:rFonts w:ascii="Arial" w:hAnsi="Arial" w:cs="Arial"/>
                <w:b/>
                <w:bCs/>
                <w:sz w:val="16"/>
                <w:szCs w:val="16"/>
              </w:rPr>
              <w:br/>
              <w:t>Incentive Plan Awards</w:t>
            </w:r>
            <w:r>
              <w:rPr>
                <w:rFonts w:ascii="Arial" w:hAnsi="Arial" w:cs="Arial"/>
                <w:b/>
                <w:bCs/>
                <w:sz w:val="12"/>
                <w:szCs w:val="12"/>
                <w:vertAlign w:val="superscript"/>
              </w:rPr>
              <w:t>2</w:t>
            </w:r>
            <w:r>
              <w:rPr>
                <w:rFonts w:ascii="Arial" w:hAnsi="Arial" w:cs="Arial"/>
                <w:sz w:val="16"/>
                <w:szCs w:val="16"/>
              </w:rPr>
              <w:t xml:space="preserve"> </w:t>
            </w:r>
          </w:p>
          <w:p w14:paraId="34EB89AA" w14:textId="77777777" w:rsidR="00D246A9" w:rsidRPr="00306F7C" w:rsidRDefault="00D246A9">
            <w:pPr>
              <w:pStyle w:val="rrdsinglerule"/>
              <w:spacing w:before="0"/>
              <w:rPr>
                <w:rFonts w:ascii="Arial" w:hAnsi="Arial" w:cs="Arial"/>
                <w:sz w:val="16"/>
                <w:szCs w:val="16"/>
              </w:rPr>
            </w:pPr>
            <w:r>
              <w:rPr>
                <w:rFonts w:ascii="Arial" w:hAnsi="Arial" w:cs="Arial"/>
                <w:sz w:val="16"/>
                <w:szCs w:val="16"/>
              </w:rPr>
              <w:t> </w:t>
            </w:r>
          </w:p>
        </w:tc>
        <w:tc>
          <w:tcPr>
            <w:tcW w:w="2590" w:type="dxa"/>
            <w:gridSpan w:val="3"/>
            <w:tcMar>
              <w:top w:w="0" w:type="dxa"/>
              <w:left w:w="0" w:type="dxa"/>
              <w:bottom w:w="0" w:type="dxa"/>
              <w:right w:w="0" w:type="dxa"/>
            </w:tcMar>
            <w:vAlign w:val="bottom"/>
            <w:hideMark/>
          </w:tcPr>
          <w:p w14:paraId="4B0D03C4"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4D565B35" w14:textId="77777777" w:rsidR="00D246A9" w:rsidRDefault="00D246A9">
            <w:pPr>
              <w:pStyle w:val="NormalWeb"/>
              <w:spacing w:before="0" w:beforeAutospacing="0" w:after="0" w:afterAutospacing="0"/>
              <w:jc w:val="center"/>
              <w:rPr>
                <w:rFonts w:ascii="Arial" w:hAnsi="Arial" w:cs="Arial"/>
                <w:sz w:val="16"/>
                <w:szCs w:val="16"/>
              </w:rPr>
            </w:pPr>
            <w:r>
              <w:rPr>
                <w:rFonts w:ascii="Arial" w:hAnsi="Arial" w:cs="Arial"/>
                <w:b/>
                <w:bCs/>
                <w:sz w:val="16"/>
                <w:szCs w:val="16"/>
              </w:rPr>
              <w:t>Estimated Future Payouts under</w:t>
            </w:r>
            <w:r>
              <w:rPr>
                <w:rFonts w:ascii="Arial" w:hAnsi="Arial" w:cs="Arial"/>
                <w:b/>
                <w:bCs/>
                <w:sz w:val="16"/>
                <w:szCs w:val="16"/>
              </w:rPr>
              <w:br/>
              <w:t>Equity Incentive Plan Awards</w:t>
            </w:r>
            <w:r>
              <w:rPr>
                <w:rFonts w:ascii="Arial" w:hAnsi="Arial" w:cs="Arial"/>
                <w:b/>
                <w:bCs/>
                <w:sz w:val="12"/>
                <w:szCs w:val="12"/>
                <w:vertAlign w:val="superscript"/>
              </w:rPr>
              <w:t>3</w:t>
            </w:r>
          </w:p>
          <w:p w14:paraId="04F5D467" w14:textId="77777777" w:rsidR="00D246A9" w:rsidRDefault="00D246A9">
            <w:pPr>
              <w:pStyle w:val="rrdsinglerule"/>
              <w:spacing w:before="0"/>
              <w:rPr>
                <w:rFonts w:ascii="Arial" w:hAnsi="Arial" w:cs="Arial"/>
                <w:sz w:val="16"/>
                <w:szCs w:val="16"/>
              </w:rPr>
            </w:pPr>
            <w:r>
              <w:rPr>
                <w:rFonts w:ascii="Arial" w:hAnsi="Arial" w:cs="Arial"/>
                <w:sz w:val="16"/>
                <w:szCs w:val="16"/>
              </w:rPr>
              <w:t> </w:t>
            </w:r>
          </w:p>
        </w:tc>
        <w:tc>
          <w:tcPr>
            <w:tcW w:w="679" w:type="dxa"/>
            <w:vMerge w:val="restart"/>
            <w:tcBorders>
              <w:bottom w:val="single" w:sz="8" w:space="0" w:color="000000"/>
            </w:tcBorders>
            <w:tcMar>
              <w:top w:w="0" w:type="dxa"/>
              <w:left w:w="0" w:type="dxa"/>
              <w:bottom w:w="0" w:type="dxa"/>
              <w:right w:w="0" w:type="dxa"/>
            </w:tcMar>
            <w:vAlign w:val="bottom"/>
            <w:hideMark/>
          </w:tcPr>
          <w:p w14:paraId="65E22638" w14:textId="77777777" w:rsidR="00D246A9" w:rsidRDefault="00D246A9">
            <w:pPr>
              <w:pStyle w:val="NormalWeb"/>
              <w:spacing w:before="0" w:beforeAutospacing="0" w:after="0" w:afterAutospacing="0"/>
              <w:jc w:val="right"/>
              <w:rPr>
                <w:rFonts w:ascii="Arial" w:hAnsi="Arial" w:cs="Arial"/>
                <w:sz w:val="16"/>
                <w:szCs w:val="16"/>
              </w:rPr>
            </w:pPr>
            <w:r>
              <w:rPr>
                <w:rFonts w:ascii="Arial" w:hAnsi="Arial" w:cs="Arial"/>
                <w:b/>
                <w:bCs/>
                <w:sz w:val="16"/>
                <w:szCs w:val="16"/>
              </w:rPr>
              <w:t>All</w:t>
            </w:r>
            <w:r>
              <w:rPr>
                <w:rFonts w:ascii="Arial" w:hAnsi="Arial" w:cs="Arial"/>
                <w:b/>
                <w:bCs/>
                <w:sz w:val="16"/>
                <w:szCs w:val="16"/>
              </w:rPr>
              <w:br/>
              <w:t>Other</w:t>
            </w:r>
            <w:r>
              <w:rPr>
                <w:rFonts w:ascii="Arial" w:hAnsi="Arial" w:cs="Arial"/>
                <w:b/>
                <w:bCs/>
                <w:sz w:val="16"/>
                <w:szCs w:val="16"/>
              </w:rPr>
              <w:br/>
              <w:t>Stock</w:t>
            </w:r>
            <w:r>
              <w:rPr>
                <w:rFonts w:ascii="Arial" w:hAnsi="Arial" w:cs="Arial"/>
                <w:b/>
                <w:bCs/>
                <w:sz w:val="16"/>
                <w:szCs w:val="16"/>
              </w:rPr>
              <w:br/>
              <w:t>Awards</w:t>
            </w:r>
            <w:r>
              <w:rPr>
                <w:rFonts w:ascii="Arial" w:hAnsi="Arial" w:cs="Arial"/>
                <w:b/>
                <w:bCs/>
                <w:sz w:val="16"/>
                <w:szCs w:val="16"/>
              </w:rPr>
              <w:br/>
              <w:t>(#)</w:t>
            </w:r>
          </w:p>
          <w:p w14:paraId="2FE11207" w14:textId="77777777" w:rsidR="00D246A9" w:rsidRDefault="00D246A9">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90" w:type="dxa"/>
            <w:vMerge w:val="restart"/>
            <w:tcBorders>
              <w:bottom w:val="single" w:sz="8" w:space="0" w:color="000000"/>
            </w:tcBorders>
            <w:tcMar>
              <w:top w:w="0" w:type="dxa"/>
              <w:left w:w="0" w:type="dxa"/>
              <w:bottom w:w="0" w:type="dxa"/>
              <w:right w:w="0" w:type="dxa"/>
            </w:tcMar>
            <w:vAlign w:val="bottom"/>
            <w:hideMark/>
          </w:tcPr>
          <w:p w14:paraId="687D6EA8" w14:textId="77777777" w:rsidR="00D246A9" w:rsidRDefault="00D246A9">
            <w:pPr>
              <w:pStyle w:val="NormalWeb"/>
              <w:spacing w:before="0" w:beforeAutospacing="0" w:after="0" w:afterAutospacing="0"/>
              <w:jc w:val="right"/>
              <w:rPr>
                <w:rFonts w:ascii="Arial" w:hAnsi="Arial" w:cs="Arial"/>
                <w:sz w:val="16"/>
                <w:szCs w:val="16"/>
              </w:rPr>
            </w:pPr>
            <w:r>
              <w:rPr>
                <w:rFonts w:ascii="Arial" w:hAnsi="Arial" w:cs="Arial"/>
                <w:b/>
                <w:bCs/>
                <w:sz w:val="16"/>
                <w:szCs w:val="16"/>
              </w:rPr>
              <w:t>Grant Date</w:t>
            </w:r>
            <w:r>
              <w:rPr>
                <w:rFonts w:ascii="Arial" w:hAnsi="Arial" w:cs="Arial"/>
                <w:b/>
                <w:bCs/>
                <w:sz w:val="16"/>
                <w:szCs w:val="16"/>
              </w:rPr>
              <w:br/>
              <w:t>Fair Value</w:t>
            </w:r>
            <w:r>
              <w:rPr>
                <w:rFonts w:ascii="Arial" w:hAnsi="Arial" w:cs="Arial"/>
                <w:b/>
                <w:bCs/>
                <w:sz w:val="16"/>
                <w:szCs w:val="16"/>
              </w:rPr>
              <w:br/>
              <w:t>of Stock</w:t>
            </w:r>
            <w:r>
              <w:rPr>
                <w:rFonts w:ascii="Arial" w:hAnsi="Arial" w:cs="Arial"/>
                <w:b/>
                <w:bCs/>
                <w:sz w:val="16"/>
                <w:szCs w:val="16"/>
              </w:rPr>
              <w:br/>
              <w:t>Awards</w:t>
            </w:r>
            <w:r>
              <w:rPr>
                <w:rFonts w:ascii="Arial" w:hAnsi="Arial" w:cs="Arial"/>
                <w:b/>
                <w:bCs/>
                <w:sz w:val="12"/>
                <w:szCs w:val="12"/>
                <w:vertAlign w:val="superscript"/>
              </w:rPr>
              <w:t>4</w:t>
            </w:r>
            <w:r>
              <w:rPr>
                <w:rFonts w:ascii="Arial" w:hAnsi="Arial" w:cs="Arial"/>
                <w:b/>
                <w:bCs/>
                <w:sz w:val="16"/>
                <w:szCs w:val="16"/>
              </w:rPr>
              <w:br/>
              <w:t>($)</w:t>
            </w:r>
          </w:p>
          <w:p w14:paraId="2F0B1440" w14:textId="77777777" w:rsidR="00D246A9" w:rsidRDefault="00D246A9">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D246A9" w14:paraId="6FD4DC4F" w14:textId="77777777" w:rsidTr="00D87FF2">
        <w:trPr>
          <w:tblHeader/>
        </w:trPr>
        <w:tc>
          <w:tcPr>
            <w:tcW w:w="1575" w:type="dxa"/>
            <w:vMerge/>
            <w:tcBorders>
              <w:bottom w:val="single" w:sz="8" w:space="0" w:color="000000"/>
            </w:tcBorders>
            <w:vAlign w:val="center"/>
            <w:hideMark/>
          </w:tcPr>
          <w:p w14:paraId="4D57C8DA" w14:textId="77777777" w:rsidR="00D246A9" w:rsidRPr="00306F7C" w:rsidRDefault="00D246A9">
            <w:pPr>
              <w:rPr>
                <w:rFonts w:ascii="Arial" w:hAnsi="Arial" w:cs="Arial"/>
                <w:sz w:val="16"/>
                <w:szCs w:val="16"/>
              </w:rPr>
            </w:pPr>
          </w:p>
        </w:tc>
        <w:tc>
          <w:tcPr>
            <w:tcW w:w="1512" w:type="dxa"/>
            <w:vMerge/>
            <w:tcBorders>
              <w:bottom w:val="single" w:sz="8" w:space="0" w:color="000000"/>
            </w:tcBorders>
            <w:tcMar>
              <w:left w:w="0" w:type="dxa"/>
            </w:tcMar>
            <w:vAlign w:val="center"/>
            <w:hideMark/>
          </w:tcPr>
          <w:p w14:paraId="3BC12338" w14:textId="77777777" w:rsidR="00D246A9" w:rsidRDefault="00D246A9">
            <w:pPr>
              <w:rPr>
                <w:rFonts w:ascii="Arial" w:hAnsi="Arial" w:cs="Arial"/>
                <w:sz w:val="16"/>
                <w:szCs w:val="16"/>
              </w:rPr>
            </w:pPr>
          </w:p>
        </w:tc>
        <w:tc>
          <w:tcPr>
            <w:tcW w:w="921" w:type="dxa"/>
            <w:vMerge/>
            <w:tcBorders>
              <w:bottom w:val="single" w:sz="8" w:space="0" w:color="000000"/>
            </w:tcBorders>
            <w:tcMar>
              <w:left w:w="0" w:type="dxa"/>
            </w:tcMar>
            <w:vAlign w:val="center"/>
            <w:hideMark/>
          </w:tcPr>
          <w:p w14:paraId="7B70F4E1" w14:textId="77777777" w:rsidR="00D246A9" w:rsidRDefault="00D246A9">
            <w:pPr>
              <w:rPr>
                <w:rFonts w:ascii="Arial" w:hAnsi="Arial" w:cs="Arial"/>
                <w:sz w:val="16"/>
                <w:szCs w:val="16"/>
              </w:rPr>
            </w:pPr>
          </w:p>
        </w:tc>
        <w:tc>
          <w:tcPr>
            <w:tcW w:w="869" w:type="dxa"/>
            <w:tcBorders>
              <w:bottom w:val="single" w:sz="8" w:space="0" w:color="000000"/>
            </w:tcBorders>
            <w:tcMar>
              <w:top w:w="0" w:type="dxa"/>
              <w:left w:w="0" w:type="dxa"/>
              <w:bottom w:w="0" w:type="dxa"/>
              <w:right w:w="0" w:type="dxa"/>
            </w:tcMar>
            <w:vAlign w:val="bottom"/>
            <w:hideMark/>
          </w:tcPr>
          <w:p w14:paraId="376F5E44" w14:textId="77777777" w:rsidR="00D246A9" w:rsidRDefault="00D246A9">
            <w:pPr>
              <w:jc w:val="right"/>
              <w:rPr>
                <w:rFonts w:ascii="Arial" w:hAnsi="Arial" w:cs="Arial"/>
                <w:sz w:val="18"/>
                <w:szCs w:val="18"/>
              </w:rPr>
            </w:pPr>
            <w:r>
              <w:rPr>
                <w:rFonts w:ascii="Arial" w:hAnsi="Arial" w:cs="Arial"/>
                <w:b/>
                <w:bCs/>
                <w:sz w:val="16"/>
                <w:szCs w:val="16"/>
              </w:rPr>
              <w:t>Threshold</w:t>
            </w:r>
            <w:r>
              <w:rPr>
                <w:rFonts w:ascii="Arial" w:hAnsi="Arial" w:cs="Arial"/>
                <w:b/>
                <w:bCs/>
                <w:sz w:val="16"/>
                <w:szCs w:val="16"/>
              </w:rPr>
              <w:br/>
              <w:t>($)</w:t>
            </w:r>
          </w:p>
        </w:tc>
        <w:tc>
          <w:tcPr>
            <w:tcW w:w="904" w:type="dxa"/>
            <w:tcBorders>
              <w:bottom w:val="single" w:sz="8" w:space="0" w:color="000000"/>
            </w:tcBorders>
            <w:tcMar>
              <w:top w:w="0" w:type="dxa"/>
              <w:left w:w="0" w:type="dxa"/>
              <w:bottom w:w="0" w:type="dxa"/>
              <w:right w:w="0" w:type="dxa"/>
            </w:tcMar>
            <w:vAlign w:val="bottom"/>
            <w:hideMark/>
          </w:tcPr>
          <w:p w14:paraId="46801A5D" w14:textId="77777777" w:rsidR="00D246A9" w:rsidRDefault="00D246A9">
            <w:pPr>
              <w:jc w:val="right"/>
              <w:rPr>
                <w:rFonts w:ascii="Arial" w:hAnsi="Arial" w:cs="Arial"/>
                <w:sz w:val="18"/>
                <w:szCs w:val="18"/>
              </w:rPr>
            </w:pPr>
            <w:r>
              <w:rPr>
                <w:rFonts w:ascii="Arial" w:hAnsi="Arial" w:cs="Arial"/>
                <w:b/>
                <w:bCs/>
                <w:sz w:val="16"/>
                <w:szCs w:val="16"/>
              </w:rPr>
              <w:t>Target</w:t>
            </w:r>
            <w:r>
              <w:rPr>
                <w:rFonts w:ascii="Arial" w:hAnsi="Arial" w:cs="Arial"/>
                <w:b/>
                <w:bCs/>
                <w:sz w:val="16"/>
                <w:szCs w:val="16"/>
              </w:rPr>
              <w:br/>
              <w:t>($)</w:t>
            </w:r>
          </w:p>
        </w:tc>
        <w:tc>
          <w:tcPr>
            <w:tcW w:w="886" w:type="dxa"/>
            <w:tcBorders>
              <w:bottom w:val="single" w:sz="8" w:space="0" w:color="000000"/>
            </w:tcBorders>
            <w:tcMar>
              <w:top w:w="0" w:type="dxa"/>
              <w:left w:w="0" w:type="dxa"/>
              <w:bottom w:w="0" w:type="dxa"/>
              <w:right w:w="0" w:type="dxa"/>
            </w:tcMar>
            <w:vAlign w:val="bottom"/>
            <w:hideMark/>
          </w:tcPr>
          <w:p w14:paraId="3B803C73" w14:textId="77777777" w:rsidR="00D246A9" w:rsidRDefault="00D246A9">
            <w:pPr>
              <w:jc w:val="right"/>
              <w:rPr>
                <w:rFonts w:ascii="Arial" w:hAnsi="Arial" w:cs="Arial"/>
                <w:sz w:val="18"/>
                <w:szCs w:val="18"/>
              </w:rPr>
            </w:pPr>
            <w:r>
              <w:rPr>
                <w:rFonts w:ascii="Arial" w:hAnsi="Arial" w:cs="Arial"/>
                <w:b/>
                <w:bCs/>
                <w:sz w:val="16"/>
                <w:szCs w:val="16"/>
              </w:rPr>
              <w:t>Maximum</w:t>
            </w:r>
            <w:r>
              <w:rPr>
                <w:rFonts w:ascii="Arial" w:hAnsi="Arial" w:cs="Arial"/>
                <w:b/>
                <w:bCs/>
                <w:sz w:val="16"/>
                <w:szCs w:val="16"/>
              </w:rPr>
              <w:br/>
              <w:t>($)</w:t>
            </w:r>
          </w:p>
        </w:tc>
        <w:tc>
          <w:tcPr>
            <w:tcW w:w="938" w:type="dxa"/>
            <w:tcBorders>
              <w:bottom w:val="single" w:sz="8" w:space="0" w:color="000000"/>
            </w:tcBorders>
            <w:tcMar>
              <w:top w:w="0" w:type="dxa"/>
              <w:left w:w="0" w:type="dxa"/>
              <w:bottom w:w="0" w:type="dxa"/>
              <w:right w:w="0" w:type="dxa"/>
            </w:tcMar>
            <w:vAlign w:val="bottom"/>
            <w:hideMark/>
          </w:tcPr>
          <w:p w14:paraId="419BD960" w14:textId="77777777" w:rsidR="00D246A9" w:rsidRDefault="00D246A9">
            <w:pPr>
              <w:jc w:val="right"/>
              <w:rPr>
                <w:rFonts w:ascii="Arial" w:hAnsi="Arial" w:cs="Arial"/>
                <w:sz w:val="18"/>
                <w:szCs w:val="18"/>
              </w:rPr>
            </w:pPr>
            <w:r>
              <w:rPr>
                <w:rFonts w:ascii="Arial" w:hAnsi="Arial" w:cs="Arial"/>
                <w:b/>
                <w:bCs/>
                <w:sz w:val="16"/>
                <w:szCs w:val="16"/>
              </w:rPr>
              <w:t>Threshold</w:t>
            </w:r>
            <w:r>
              <w:rPr>
                <w:rFonts w:ascii="Arial" w:hAnsi="Arial" w:cs="Arial"/>
                <w:b/>
                <w:bCs/>
                <w:sz w:val="16"/>
                <w:szCs w:val="16"/>
              </w:rPr>
              <w:br/>
              <w:t>(#)</w:t>
            </w:r>
          </w:p>
        </w:tc>
        <w:tc>
          <w:tcPr>
            <w:tcW w:w="714" w:type="dxa"/>
            <w:tcBorders>
              <w:bottom w:val="single" w:sz="8" w:space="0" w:color="000000"/>
            </w:tcBorders>
            <w:tcMar>
              <w:top w:w="0" w:type="dxa"/>
              <w:left w:w="0" w:type="dxa"/>
              <w:bottom w:w="0" w:type="dxa"/>
              <w:right w:w="0" w:type="dxa"/>
            </w:tcMar>
            <w:vAlign w:val="bottom"/>
            <w:hideMark/>
          </w:tcPr>
          <w:p w14:paraId="12EF0A4D" w14:textId="77777777" w:rsidR="00D246A9" w:rsidRDefault="00D246A9">
            <w:pPr>
              <w:jc w:val="right"/>
              <w:rPr>
                <w:rFonts w:ascii="Arial" w:hAnsi="Arial" w:cs="Arial"/>
                <w:sz w:val="18"/>
                <w:szCs w:val="18"/>
              </w:rPr>
            </w:pPr>
            <w:r>
              <w:rPr>
                <w:rFonts w:ascii="Arial" w:hAnsi="Arial" w:cs="Arial"/>
                <w:b/>
                <w:bCs/>
                <w:sz w:val="16"/>
                <w:szCs w:val="16"/>
              </w:rPr>
              <w:t>Target</w:t>
            </w:r>
            <w:r>
              <w:rPr>
                <w:rFonts w:ascii="Arial" w:hAnsi="Arial" w:cs="Arial"/>
                <w:b/>
                <w:bCs/>
                <w:sz w:val="16"/>
                <w:szCs w:val="16"/>
              </w:rPr>
              <w:br/>
              <w:t>(#)</w:t>
            </w:r>
          </w:p>
        </w:tc>
        <w:tc>
          <w:tcPr>
            <w:tcW w:w="938" w:type="dxa"/>
            <w:tcBorders>
              <w:bottom w:val="single" w:sz="8" w:space="0" w:color="000000"/>
            </w:tcBorders>
            <w:tcMar>
              <w:top w:w="0" w:type="dxa"/>
              <w:left w:w="0" w:type="dxa"/>
              <w:bottom w:w="0" w:type="dxa"/>
              <w:right w:w="0" w:type="dxa"/>
            </w:tcMar>
            <w:vAlign w:val="bottom"/>
            <w:hideMark/>
          </w:tcPr>
          <w:p w14:paraId="776AD7F4" w14:textId="77777777" w:rsidR="00D246A9" w:rsidRDefault="00D246A9">
            <w:pPr>
              <w:jc w:val="right"/>
              <w:rPr>
                <w:rFonts w:ascii="Arial" w:hAnsi="Arial" w:cs="Arial"/>
                <w:sz w:val="18"/>
                <w:szCs w:val="18"/>
              </w:rPr>
            </w:pPr>
            <w:r>
              <w:rPr>
                <w:rFonts w:ascii="Arial" w:hAnsi="Arial" w:cs="Arial"/>
                <w:b/>
                <w:bCs/>
                <w:sz w:val="16"/>
                <w:szCs w:val="16"/>
              </w:rPr>
              <w:t>Maximum</w:t>
            </w:r>
            <w:r>
              <w:rPr>
                <w:rFonts w:ascii="Arial" w:hAnsi="Arial" w:cs="Arial"/>
                <w:b/>
                <w:bCs/>
                <w:sz w:val="16"/>
                <w:szCs w:val="16"/>
              </w:rPr>
              <w:br/>
              <w:t>(#)</w:t>
            </w:r>
          </w:p>
        </w:tc>
        <w:tc>
          <w:tcPr>
            <w:tcW w:w="679" w:type="dxa"/>
            <w:vMerge/>
            <w:tcBorders>
              <w:bottom w:val="single" w:sz="8" w:space="0" w:color="000000"/>
            </w:tcBorders>
            <w:tcMar>
              <w:left w:w="0" w:type="dxa"/>
            </w:tcMar>
            <w:vAlign w:val="center"/>
            <w:hideMark/>
          </w:tcPr>
          <w:p w14:paraId="58EB9D61" w14:textId="77777777" w:rsidR="00D246A9" w:rsidRPr="00306F7C" w:rsidRDefault="00D246A9">
            <w:pPr>
              <w:rPr>
                <w:rFonts w:ascii="Arial" w:hAnsi="Arial" w:cs="Arial"/>
                <w:sz w:val="2"/>
                <w:szCs w:val="2"/>
              </w:rPr>
            </w:pPr>
          </w:p>
        </w:tc>
        <w:tc>
          <w:tcPr>
            <w:tcW w:w="990" w:type="dxa"/>
            <w:vMerge/>
            <w:tcBorders>
              <w:bottom w:val="single" w:sz="8" w:space="0" w:color="000000"/>
            </w:tcBorders>
            <w:tcMar>
              <w:left w:w="0" w:type="dxa"/>
            </w:tcMar>
            <w:vAlign w:val="center"/>
            <w:hideMark/>
          </w:tcPr>
          <w:p w14:paraId="62018840" w14:textId="77777777" w:rsidR="00D246A9" w:rsidRPr="00306F7C" w:rsidRDefault="00D246A9">
            <w:pPr>
              <w:rPr>
                <w:rFonts w:ascii="Arial" w:hAnsi="Arial" w:cs="Arial"/>
                <w:sz w:val="2"/>
                <w:szCs w:val="2"/>
              </w:rPr>
            </w:pPr>
          </w:p>
        </w:tc>
      </w:tr>
      <w:tr w:rsidR="0080449C" w14:paraId="6176F7E3" w14:textId="77777777" w:rsidTr="007506E5">
        <w:tc>
          <w:tcPr>
            <w:tcW w:w="1575" w:type="dxa"/>
            <w:vMerge w:val="restart"/>
            <w:tcMar>
              <w:top w:w="0" w:type="dxa"/>
              <w:left w:w="0" w:type="dxa"/>
              <w:bottom w:w="40" w:type="dxa"/>
              <w:right w:w="0" w:type="dxa"/>
            </w:tcMar>
            <w:hideMark/>
          </w:tcPr>
          <w:p w14:paraId="3F3BAC25" w14:textId="77777777" w:rsidR="0080449C" w:rsidRPr="00306F7C" w:rsidRDefault="0080449C" w:rsidP="0080449C">
            <w:pPr>
              <w:pStyle w:val="NormalWeb"/>
              <w:keepNext/>
              <w:spacing w:before="0" w:beforeAutospacing="0" w:after="0" w:afterAutospacing="0"/>
              <w:ind w:left="360" w:hanging="240"/>
              <w:rPr>
                <w:rFonts w:ascii="Arial" w:hAnsi="Arial" w:cs="Arial"/>
                <w:sz w:val="16"/>
                <w:szCs w:val="16"/>
              </w:rPr>
            </w:pPr>
            <w:r>
              <w:rPr>
                <w:rFonts w:ascii="Arial" w:hAnsi="Arial" w:cs="Arial"/>
                <w:b/>
                <w:bCs/>
                <w:color w:val="0075C9"/>
                <w:sz w:val="16"/>
                <w:szCs w:val="16"/>
              </w:rPr>
              <w:t>Satya Nadella</w:t>
            </w:r>
          </w:p>
          <w:p w14:paraId="6F47D058" w14:textId="77777777" w:rsidR="0080449C" w:rsidRPr="00306F7C" w:rsidRDefault="0080449C" w:rsidP="0080449C">
            <w:pPr>
              <w:pStyle w:val="la2"/>
              <w:rPr>
                <w:rFonts w:ascii="Arial" w:hAnsi="Arial" w:cs="Arial"/>
                <w:sz w:val="16"/>
                <w:szCs w:val="16"/>
              </w:rPr>
            </w:pPr>
            <w:r>
              <w:rPr>
                <w:rFonts w:ascii="Arial" w:hAnsi="Arial" w:cs="Arial"/>
                <w:sz w:val="16"/>
                <w:szCs w:val="16"/>
              </w:rPr>
              <w:t> </w:t>
            </w:r>
          </w:p>
          <w:p w14:paraId="3110B60F" w14:textId="77777777" w:rsidR="0080449C" w:rsidRDefault="0080449C" w:rsidP="0080449C">
            <w:pPr>
              <w:pStyle w:val="NormalWeb"/>
              <w:spacing w:before="0" w:beforeAutospacing="0" w:after="0" w:afterAutospacing="0"/>
              <w:rPr>
                <w:rFonts w:ascii="Arial" w:hAnsi="Arial" w:cs="Arial"/>
                <w:sz w:val="4"/>
                <w:szCs w:val="4"/>
              </w:rPr>
            </w:pPr>
            <w:r>
              <w:rPr>
                <w:rFonts w:ascii="Arial" w:hAnsi="Arial" w:cs="Arial"/>
                <w:sz w:val="4"/>
                <w:szCs w:val="4"/>
              </w:rPr>
              <w:t> </w:t>
            </w:r>
          </w:p>
          <w:p w14:paraId="69251B1D" w14:textId="77777777" w:rsidR="0080449C" w:rsidRPr="00306F7C" w:rsidRDefault="0080449C" w:rsidP="0080449C">
            <w:pPr>
              <w:pStyle w:val="la2"/>
              <w:rPr>
                <w:rFonts w:ascii="Arial" w:hAnsi="Arial" w:cs="Arial"/>
                <w:sz w:val="16"/>
                <w:szCs w:val="16"/>
              </w:rPr>
            </w:pPr>
            <w:r>
              <w:rPr>
                <w:rFonts w:ascii="Arial" w:hAnsi="Arial" w:cs="Arial"/>
                <w:sz w:val="16"/>
                <w:szCs w:val="16"/>
              </w:rPr>
              <w:t> </w:t>
            </w:r>
          </w:p>
          <w:p w14:paraId="2C758E15" w14:textId="4F8E142E" w:rsidR="0080449C" w:rsidRPr="00306F7C" w:rsidRDefault="0080449C" w:rsidP="0080449C">
            <w:pPr>
              <w:pStyle w:val="NormalWeb"/>
              <w:spacing w:before="0" w:after="0"/>
              <w:rPr>
                <w:rFonts w:ascii="Arial" w:hAnsi="Arial" w:cs="Arial"/>
                <w:sz w:val="16"/>
                <w:szCs w:val="16"/>
              </w:rPr>
            </w:pPr>
            <w:r>
              <w:rPr>
                <w:rFonts w:ascii="Arial" w:hAnsi="Arial" w:cs="Arial"/>
                <w:sz w:val="4"/>
                <w:szCs w:val="4"/>
              </w:rPr>
              <w:t> </w:t>
            </w:r>
          </w:p>
        </w:tc>
        <w:tc>
          <w:tcPr>
            <w:tcW w:w="1512" w:type="dxa"/>
            <w:tcBorders>
              <w:bottom w:val="single" w:sz="6" w:space="0" w:color="595959"/>
            </w:tcBorders>
            <w:noWrap/>
            <w:tcMar>
              <w:top w:w="0" w:type="dxa"/>
              <w:left w:w="0" w:type="dxa"/>
              <w:bottom w:w="0" w:type="dxa"/>
              <w:right w:w="0" w:type="dxa"/>
            </w:tcMar>
            <w:vAlign w:val="bottom"/>
            <w:hideMark/>
          </w:tcPr>
          <w:p w14:paraId="34D87BFE" w14:textId="77777777" w:rsidR="0080449C" w:rsidRDefault="0080449C" w:rsidP="0080449C">
            <w:pPr>
              <w:rPr>
                <w:rFonts w:ascii="Arial" w:hAnsi="Arial" w:cs="Arial"/>
                <w:sz w:val="16"/>
                <w:szCs w:val="16"/>
              </w:rPr>
            </w:pPr>
            <w:r>
              <w:rPr>
                <w:rFonts w:ascii="Arial" w:hAnsi="Arial" w:cs="Arial"/>
                <w:sz w:val="16"/>
                <w:szCs w:val="16"/>
              </w:rPr>
              <w:t>2023 Cash Incentive</w:t>
            </w:r>
          </w:p>
        </w:tc>
        <w:tc>
          <w:tcPr>
            <w:tcW w:w="921" w:type="dxa"/>
            <w:tcBorders>
              <w:bottom w:val="single" w:sz="6" w:space="0" w:color="595959"/>
            </w:tcBorders>
            <w:noWrap/>
            <w:tcMar>
              <w:top w:w="0" w:type="dxa"/>
              <w:left w:w="0" w:type="dxa"/>
              <w:bottom w:w="0" w:type="dxa"/>
              <w:right w:w="0" w:type="dxa"/>
            </w:tcMar>
            <w:vAlign w:val="bottom"/>
            <w:hideMark/>
          </w:tcPr>
          <w:p w14:paraId="70199A3C" w14:textId="534B89B0"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69" w:type="dxa"/>
            <w:tcBorders>
              <w:bottom w:val="single" w:sz="6" w:space="0" w:color="595959"/>
            </w:tcBorders>
            <w:noWrap/>
            <w:tcMar>
              <w:top w:w="0" w:type="dxa"/>
              <w:left w:w="0" w:type="dxa"/>
              <w:bottom w:w="0" w:type="dxa"/>
              <w:right w:w="0" w:type="dxa"/>
            </w:tcMar>
            <w:vAlign w:val="bottom"/>
            <w:hideMark/>
          </w:tcPr>
          <w:p w14:paraId="213EDD45" w14:textId="77777777" w:rsidR="0080449C" w:rsidRPr="00306F7C" w:rsidRDefault="0080449C" w:rsidP="0080449C">
            <w:pPr>
              <w:pStyle w:val="NormalWeb"/>
              <w:tabs>
                <w:tab w:val="right" w:pos="820"/>
                <w:tab w:val="decimal" w:pos="860"/>
              </w:tabs>
              <w:spacing w:before="0" w:beforeAutospacing="0" w:after="20" w:afterAutospacing="0"/>
              <w:rPr>
                <w:rFonts w:ascii="Arial" w:hAnsi="Arial" w:cs="Arial"/>
                <w:sz w:val="16"/>
                <w:szCs w:val="16"/>
              </w:rPr>
            </w:pPr>
            <w:r>
              <w:rPr>
                <w:rFonts w:ascii="Arial" w:hAnsi="Arial" w:cs="Arial"/>
                <w:sz w:val="16"/>
                <w:szCs w:val="16"/>
              </w:rPr>
              <w:tab/>
              <w:t>0</w:t>
            </w:r>
            <w:r>
              <w:rPr>
                <w:rFonts w:ascii="Arial" w:hAnsi="Arial" w:cs="Arial"/>
                <w:sz w:val="16"/>
                <w:szCs w:val="16"/>
              </w:rPr>
              <w:tab/>
            </w:r>
          </w:p>
        </w:tc>
        <w:tc>
          <w:tcPr>
            <w:tcW w:w="904" w:type="dxa"/>
            <w:tcBorders>
              <w:bottom w:val="single" w:sz="6" w:space="0" w:color="595959"/>
            </w:tcBorders>
            <w:noWrap/>
            <w:tcMar>
              <w:top w:w="0" w:type="dxa"/>
              <w:left w:w="0" w:type="dxa"/>
              <w:bottom w:w="0" w:type="dxa"/>
              <w:right w:w="0" w:type="dxa"/>
            </w:tcMar>
            <w:vAlign w:val="bottom"/>
            <w:hideMark/>
          </w:tcPr>
          <w:p w14:paraId="03BB6215" w14:textId="77777777" w:rsidR="0080449C" w:rsidRDefault="0080449C" w:rsidP="0080449C">
            <w:pPr>
              <w:pStyle w:val="NormalWeb"/>
              <w:tabs>
                <w:tab w:val="right" w:pos="860"/>
                <w:tab w:val="decimal" w:pos="900"/>
              </w:tabs>
              <w:spacing w:before="0" w:beforeAutospacing="0" w:after="20" w:afterAutospacing="0"/>
              <w:rPr>
                <w:rFonts w:ascii="Arial" w:hAnsi="Arial" w:cs="Arial"/>
                <w:sz w:val="16"/>
                <w:szCs w:val="16"/>
              </w:rPr>
            </w:pPr>
            <w:r>
              <w:rPr>
                <w:rFonts w:ascii="Arial" w:hAnsi="Arial" w:cs="Arial"/>
                <w:sz w:val="16"/>
                <w:szCs w:val="16"/>
              </w:rPr>
              <w:tab/>
              <w:t>7,500,000</w:t>
            </w:r>
            <w:r>
              <w:rPr>
                <w:rFonts w:ascii="Arial" w:hAnsi="Arial" w:cs="Arial"/>
                <w:sz w:val="16"/>
                <w:szCs w:val="16"/>
              </w:rPr>
              <w:tab/>
            </w:r>
          </w:p>
        </w:tc>
        <w:tc>
          <w:tcPr>
            <w:tcW w:w="886" w:type="dxa"/>
            <w:tcBorders>
              <w:bottom w:val="single" w:sz="6" w:space="0" w:color="595959"/>
            </w:tcBorders>
            <w:noWrap/>
            <w:tcMar>
              <w:top w:w="0" w:type="dxa"/>
              <w:left w:w="0" w:type="dxa"/>
              <w:bottom w:w="0" w:type="dxa"/>
              <w:right w:w="0" w:type="dxa"/>
            </w:tcMar>
            <w:vAlign w:val="bottom"/>
            <w:hideMark/>
          </w:tcPr>
          <w:p w14:paraId="46AE7414" w14:textId="77777777" w:rsidR="0080449C" w:rsidRDefault="0080449C" w:rsidP="0080449C">
            <w:pPr>
              <w:pStyle w:val="NormalWeb"/>
              <w:tabs>
                <w:tab w:val="right" w:pos="840"/>
                <w:tab w:val="decimal" w:pos="880"/>
              </w:tabs>
              <w:spacing w:before="0" w:beforeAutospacing="0" w:after="20" w:afterAutospacing="0"/>
              <w:rPr>
                <w:rFonts w:ascii="Arial" w:hAnsi="Arial" w:cs="Arial"/>
                <w:sz w:val="16"/>
                <w:szCs w:val="16"/>
              </w:rPr>
            </w:pPr>
            <w:r>
              <w:rPr>
                <w:rFonts w:ascii="Arial" w:hAnsi="Arial" w:cs="Arial"/>
                <w:sz w:val="16"/>
                <w:szCs w:val="16"/>
              </w:rPr>
              <w:tab/>
              <w:t>15,000,000</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hideMark/>
          </w:tcPr>
          <w:p w14:paraId="2DA802CD" w14:textId="39CD991E"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714" w:type="dxa"/>
            <w:tcBorders>
              <w:bottom w:val="single" w:sz="6" w:space="0" w:color="595959"/>
            </w:tcBorders>
            <w:noWrap/>
            <w:tcMar>
              <w:top w:w="0" w:type="dxa"/>
              <w:left w:w="0" w:type="dxa"/>
              <w:bottom w:w="0" w:type="dxa"/>
              <w:right w:w="0" w:type="dxa"/>
            </w:tcMar>
            <w:hideMark/>
          </w:tcPr>
          <w:p w14:paraId="21803CA7" w14:textId="1F77E3B3"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hideMark/>
          </w:tcPr>
          <w:p w14:paraId="4FA3A5C3" w14:textId="55670EA9"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679" w:type="dxa"/>
            <w:tcBorders>
              <w:bottom w:val="single" w:sz="6" w:space="0" w:color="595959"/>
            </w:tcBorders>
            <w:noWrap/>
            <w:tcMar>
              <w:top w:w="0" w:type="dxa"/>
              <w:left w:w="0" w:type="dxa"/>
              <w:bottom w:w="0" w:type="dxa"/>
              <w:right w:w="0" w:type="dxa"/>
            </w:tcMar>
            <w:hideMark/>
          </w:tcPr>
          <w:p w14:paraId="541B1489" w14:textId="6DAA51EB"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90" w:type="dxa"/>
            <w:tcBorders>
              <w:bottom w:val="single" w:sz="6" w:space="0" w:color="595959"/>
            </w:tcBorders>
            <w:noWrap/>
            <w:tcMar>
              <w:top w:w="0" w:type="dxa"/>
              <w:left w:w="0" w:type="dxa"/>
              <w:bottom w:w="0" w:type="dxa"/>
              <w:right w:w="0" w:type="dxa"/>
            </w:tcMar>
            <w:hideMark/>
          </w:tcPr>
          <w:p w14:paraId="2DEFBEC9" w14:textId="3A158D1F"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r>
      <w:tr w:rsidR="0080449C" w14:paraId="2FB41F6F" w14:textId="77777777" w:rsidTr="00BB3325">
        <w:tc>
          <w:tcPr>
            <w:tcW w:w="1575" w:type="dxa"/>
            <w:vMerge/>
            <w:tcMar>
              <w:top w:w="0" w:type="dxa"/>
              <w:left w:w="144" w:type="dxa"/>
              <w:bottom w:w="0" w:type="dxa"/>
              <w:right w:w="0" w:type="dxa"/>
            </w:tcMar>
            <w:hideMark/>
          </w:tcPr>
          <w:p w14:paraId="44F41CF6" w14:textId="77958C7E" w:rsidR="0080449C" w:rsidRDefault="0080449C" w:rsidP="0080449C">
            <w:pPr>
              <w:pStyle w:val="NormalWeb"/>
              <w:spacing w:before="0" w:after="0"/>
              <w:rPr>
                <w:rFonts w:ascii="Arial" w:hAnsi="Arial" w:cs="Arial"/>
                <w:sz w:val="4"/>
                <w:szCs w:val="4"/>
              </w:rPr>
            </w:pPr>
          </w:p>
        </w:tc>
        <w:tc>
          <w:tcPr>
            <w:tcW w:w="1512" w:type="dxa"/>
            <w:tcBorders>
              <w:bottom w:val="single" w:sz="6" w:space="0" w:color="595959"/>
            </w:tcBorders>
            <w:noWrap/>
            <w:tcMar>
              <w:top w:w="0" w:type="dxa"/>
              <w:left w:w="0" w:type="dxa"/>
              <w:bottom w:w="0" w:type="dxa"/>
              <w:right w:w="0" w:type="dxa"/>
            </w:tcMar>
            <w:vAlign w:val="bottom"/>
            <w:hideMark/>
          </w:tcPr>
          <w:p w14:paraId="6407D545" w14:textId="77777777" w:rsidR="0080449C" w:rsidRDefault="0080449C" w:rsidP="0080449C">
            <w:pPr>
              <w:rPr>
                <w:rFonts w:ascii="Arial" w:hAnsi="Arial" w:cs="Arial"/>
                <w:sz w:val="16"/>
                <w:szCs w:val="16"/>
              </w:rPr>
            </w:pPr>
            <w:r>
              <w:rPr>
                <w:rFonts w:ascii="Arial" w:hAnsi="Arial" w:cs="Arial"/>
                <w:sz w:val="16"/>
                <w:szCs w:val="16"/>
              </w:rPr>
              <w:t>2023 PSA</w:t>
            </w:r>
          </w:p>
        </w:tc>
        <w:tc>
          <w:tcPr>
            <w:tcW w:w="921" w:type="dxa"/>
            <w:tcBorders>
              <w:bottom w:val="single" w:sz="6" w:space="0" w:color="595959"/>
            </w:tcBorders>
            <w:noWrap/>
            <w:tcMar>
              <w:top w:w="0" w:type="dxa"/>
              <w:left w:w="0" w:type="dxa"/>
              <w:bottom w:w="0" w:type="dxa"/>
              <w:right w:w="0" w:type="dxa"/>
            </w:tcMar>
            <w:vAlign w:val="bottom"/>
            <w:hideMark/>
          </w:tcPr>
          <w:p w14:paraId="1B8D91FC"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hideMark/>
          </w:tcPr>
          <w:p w14:paraId="212622D3" w14:textId="52069128"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595959"/>
            </w:tcBorders>
            <w:noWrap/>
            <w:tcMar>
              <w:top w:w="0" w:type="dxa"/>
              <w:left w:w="0" w:type="dxa"/>
              <w:bottom w:w="0" w:type="dxa"/>
              <w:right w:w="0" w:type="dxa"/>
            </w:tcMar>
            <w:hideMark/>
          </w:tcPr>
          <w:p w14:paraId="4F12CDEC" w14:textId="5E2E350D"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595959"/>
            </w:tcBorders>
            <w:noWrap/>
            <w:tcMar>
              <w:top w:w="0" w:type="dxa"/>
              <w:left w:w="0" w:type="dxa"/>
              <w:bottom w:w="0" w:type="dxa"/>
              <w:right w:w="0" w:type="dxa"/>
            </w:tcMar>
            <w:hideMark/>
          </w:tcPr>
          <w:p w14:paraId="1F72A556" w14:textId="5331F623"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vAlign w:val="bottom"/>
            <w:hideMark/>
          </w:tcPr>
          <w:p w14:paraId="0C3D9C7A" w14:textId="77777777" w:rsidR="0080449C" w:rsidRPr="00306F7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2,390</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32A8ABB2" w14:textId="77777777" w:rsidR="0080449C" w:rsidRDefault="0080449C" w:rsidP="0080449C">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63,742</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0BCF880F" w14:textId="77777777" w:rsidR="0080449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191,226</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33A36A5C" w14:textId="77777777" w:rsidR="0080449C" w:rsidRDefault="0080449C" w:rsidP="0080449C">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1F342D21" w14:textId="77777777" w:rsidR="0080449C" w:rsidRPr="00306F7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17,096,331</w:t>
            </w:r>
            <w:r>
              <w:rPr>
                <w:rFonts w:ascii="Arial" w:hAnsi="Arial" w:cs="Arial"/>
                <w:sz w:val="16"/>
                <w:szCs w:val="16"/>
              </w:rPr>
              <w:tab/>
            </w:r>
          </w:p>
        </w:tc>
      </w:tr>
      <w:tr w:rsidR="0080449C" w14:paraId="3DAEC9B8" w14:textId="77777777" w:rsidTr="00BB3325">
        <w:tc>
          <w:tcPr>
            <w:tcW w:w="1575" w:type="dxa"/>
            <w:vMerge/>
            <w:tcMar>
              <w:top w:w="0" w:type="dxa"/>
              <w:left w:w="144" w:type="dxa"/>
              <w:bottom w:w="0" w:type="dxa"/>
              <w:right w:w="0" w:type="dxa"/>
            </w:tcMar>
            <w:hideMark/>
          </w:tcPr>
          <w:p w14:paraId="00A2DFEF" w14:textId="17384657" w:rsidR="0080449C" w:rsidRDefault="0080449C" w:rsidP="0080449C">
            <w:pPr>
              <w:pStyle w:val="NormalWeb"/>
              <w:spacing w:before="0" w:beforeAutospacing="0" w:after="0" w:afterAutospacing="0"/>
              <w:rPr>
                <w:rFonts w:ascii="Arial" w:hAnsi="Arial" w:cs="Arial"/>
                <w:sz w:val="4"/>
                <w:szCs w:val="4"/>
              </w:rPr>
            </w:pPr>
          </w:p>
        </w:tc>
        <w:tc>
          <w:tcPr>
            <w:tcW w:w="1512" w:type="dxa"/>
            <w:tcBorders>
              <w:bottom w:val="single" w:sz="6" w:space="0" w:color="595959"/>
            </w:tcBorders>
            <w:noWrap/>
            <w:tcMar>
              <w:top w:w="0" w:type="dxa"/>
              <w:left w:w="0" w:type="dxa"/>
              <w:bottom w:w="0" w:type="dxa"/>
              <w:right w:w="0" w:type="dxa"/>
            </w:tcMar>
            <w:vAlign w:val="bottom"/>
            <w:hideMark/>
          </w:tcPr>
          <w:p w14:paraId="03758E6C" w14:textId="77777777" w:rsidR="0080449C" w:rsidRDefault="0080449C" w:rsidP="0080449C">
            <w:pPr>
              <w:rPr>
                <w:rFonts w:ascii="Arial" w:hAnsi="Arial" w:cs="Arial"/>
                <w:sz w:val="16"/>
                <w:szCs w:val="16"/>
              </w:rPr>
            </w:pPr>
            <w:r>
              <w:rPr>
                <w:rFonts w:ascii="Arial" w:hAnsi="Arial" w:cs="Arial"/>
                <w:sz w:val="16"/>
                <w:szCs w:val="16"/>
              </w:rPr>
              <w:t>2022 PSA</w:t>
            </w:r>
          </w:p>
        </w:tc>
        <w:tc>
          <w:tcPr>
            <w:tcW w:w="921" w:type="dxa"/>
            <w:tcBorders>
              <w:bottom w:val="single" w:sz="6" w:space="0" w:color="595959"/>
            </w:tcBorders>
            <w:noWrap/>
            <w:tcMar>
              <w:top w:w="0" w:type="dxa"/>
              <w:left w:w="0" w:type="dxa"/>
              <w:bottom w:w="0" w:type="dxa"/>
              <w:right w:w="0" w:type="dxa"/>
            </w:tcMar>
            <w:vAlign w:val="bottom"/>
            <w:hideMark/>
          </w:tcPr>
          <w:p w14:paraId="4FE57A5C"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hideMark/>
          </w:tcPr>
          <w:p w14:paraId="3193F871" w14:textId="60FB8BC6"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595959"/>
            </w:tcBorders>
            <w:noWrap/>
            <w:tcMar>
              <w:top w:w="0" w:type="dxa"/>
              <w:left w:w="0" w:type="dxa"/>
              <w:bottom w:w="0" w:type="dxa"/>
              <w:right w:w="0" w:type="dxa"/>
            </w:tcMar>
            <w:hideMark/>
          </w:tcPr>
          <w:p w14:paraId="14AED98D" w14:textId="2DB60CBD"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595959"/>
            </w:tcBorders>
            <w:noWrap/>
            <w:tcMar>
              <w:top w:w="0" w:type="dxa"/>
              <w:left w:w="0" w:type="dxa"/>
              <w:bottom w:w="0" w:type="dxa"/>
              <w:right w:w="0" w:type="dxa"/>
            </w:tcMar>
            <w:hideMark/>
          </w:tcPr>
          <w:p w14:paraId="12DCA92D" w14:textId="3EBC8D2F"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vAlign w:val="bottom"/>
            <w:hideMark/>
          </w:tcPr>
          <w:p w14:paraId="3652EA9B" w14:textId="77777777" w:rsidR="0080449C" w:rsidRPr="00306F7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2,070</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25FF0C2F" w14:textId="77777777" w:rsidR="0080449C" w:rsidRDefault="0080449C" w:rsidP="0080449C">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55,210</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448332AD" w14:textId="77777777" w:rsidR="0080449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165,630</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783BFB40" w14:textId="77777777" w:rsidR="0080449C" w:rsidRDefault="0080449C" w:rsidP="0080449C">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3022AF60" w14:textId="77777777" w:rsidR="0080449C" w:rsidRPr="00306F7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15,453,186</w:t>
            </w:r>
            <w:r>
              <w:rPr>
                <w:rFonts w:ascii="Arial" w:hAnsi="Arial" w:cs="Arial"/>
                <w:sz w:val="16"/>
                <w:szCs w:val="16"/>
              </w:rPr>
              <w:tab/>
            </w:r>
          </w:p>
        </w:tc>
      </w:tr>
      <w:tr w:rsidR="0080449C" w14:paraId="72AA0B7F" w14:textId="77777777" w:rsidTr="00BB3325">
        <w:tc>
          <w:tcPr>
            <w:tcW w:w="1575" w:type="dxa"/>
            <w:vMerge/>
            <w:tcBorders>
              <w:bottom w:val="single" w:sz="6" w:space="0" w:color="0075C9"/>
            </w:tcBorders>
            <w:tcMar>
              <w:top w:w="0" w:type="dxa"/>
              <w:left w:w="0" w:type="dxa"/>
              <w:bottom w:w="40" w:type="dxa"/>
              <w:right w:w="0" w:type="dxa"/>
            </w:tcMar>
            <w:hideMark/>
          </w:tcPr>
          <w:p w14:paraId="61E83709" w14:textId="77777777" w:rsidR="0080449C" w:rsidRDefault="0080449C" w:rsidP="0080449C">
            <w:pPr>
              <w:rPr>
                <w:rFonts w:ascii="Arial" w:hAnsi="Arial" w:cs="Arial"/>
                <w:sz w:val="2"/>
                <w:szCs w:val="2"/>
              </w:rPr>
            </w:pPr>
          </w:p>
        </w:tc>
        <w:tc>
          <w:tcPr>
            <w:tcW w:w="1512" w:type="dxa"/>
            <w:tcBorders>
              <w:bottom w:val="single" w:sz="6" w:space="0" w:color="0075C9"/>
            </w:tcBorders>
            <w:noWrap/>
            <w:tcMar>
              <w:top w:w="0" w:type="dxa"/>
              <w:left w:w="0" w:type="dxa"/>
              <w:bottom w:w="0" w:type="dxa"/>
              <w:right w:w="0" w:type="dxa"/>
            </w:tcMar>
            <w:vAlign w:val="bottom"/>
            <w:hideMark/>
          </w:tcPr>
          <w:p w14:paraId="24943288" w14:textId="77777777" w:rsidR="0080449C" w:rsidRDefault="0080449C" w:rsidP="0080449C">
            <w:pPr>
              <w:rPr>
                <w:rFonts w:ascii="Arial" w:hAnsi="Arial" w:cs="Arial"/>
                <w:sz w:val="16"/>
                <w:szCs w:val="16"/>
              </w:rPr>
            </w:pPr>
            <w:r>
              <w:rPr>
                <w:rFonts w:ascii="Arial" w:hAnsi="Arial" w:cs="Arial"/>
                <w:sz w:val="16"/>
                <w:szCs w:val="16"/>
              </w:rPr>
              <w:t>2021 PSA</w:t>
            </w:r>
          </w:p>
        </w:tc>
        <w:tc>
          <w:tcPr>
            <w:tcW w:w="921" w:type="dxa"/>
            <w:tcBorders>
              <w:bottom w:val="single" w:sz="6" w:space="0" w:color="0075C9"/>
            </w:tcBorders>
            <w:noWrap/>
            <w:tcMar>
              <w:top w:w="0" w:type="dxa"/>
              <w:left w:w="0" w:type="dxa"/>
              <w:bottom w:w="0" w:type="dxa"/>
              <w:right w:w="0" w:type="dxa"/>
            </w:tcMar>
            <w:vAlign w:val="bottom"/>
            <w:hideMark/>
          </w:tcPr>
          <w:p w14:paraId="64635236"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0075C9"/>
            </w:tcBorders>
            <w:noWrap/>
            <w:tcMar>
              <w:top w:w="0" w:type="dxa"/>
              <w:left w:w="0" w:type="dxa"/>
              <w:bottom w:w="0" w:type="dxa"/>
              <w:right w:w="0" w:type="dxa"/>
            </w:tcMar>
            <w:hideMark/>
          </w:tcPr>
          <w:p w14:paraId="5155D468" w14:textId="2D2E242A"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0075C9"/>
            </w:tcBorders>
            <w:noWrap/>
            <w:tcMar>
              <w:top w:w="0" w:type="dxa"/>
              <w:left w:w="0" w:type="dxa"/>
              <w:bottom w:w="0" w:type="dxa"/>
              <w:right w:w="0" w:type="dxa"/>
            </w:tcMar>
            <w:hideMark/>
          </w:tcPr>
          <w:p w14:paraId="64C27E1C" w14:textId="3C138068"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0075C9"/>
            </w:tcBorders>
            <w:noWrap/>
            <w:tcMar>
              <w:top w:w="0" w:type="dxa"/>
              <w:left w:w="0" w:type="dxa"/>
              <w:bottom w:w="0" w:type="dxa"/>
              <w:right w:w="0" w:type="dxa"/>
            </w:tcMar>
            <w:hideMark/>
          </w:tcPr>
          <w:p w14:paraId="146CDA55" w14:textId="62811033"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0075C9"/>
            </w:tcBorders>
            <w:noWrap/>
            <w:tcMar>
              <w:top w:w="0" w:type="dxa"/>
              <w:left w:w="0" w:type="dxa"/>
              <w:bottom w:w="0" w:type="dxa"/>
              <w:right w:w="0" w:type="dxa"/>
            </w:tcMar>
            <w:vAlign w:val="bottom"/>
            <w:hideMark/>
          </w:tcPr>
          <w:p w14:paraId="2F00A068" w14:textId="77777777" w:rsidR="0080449C" w:rsidRPr="00306F7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970</w:t>
            </w:r>
            <w:r>
              <w:rPr>
                <w:rFonts w:ascii="Arial" w:hAnsi="Arial" w:cs="Arial"/>
                <w:sz w:val="16"/>
                <w:szCs w:val="16"/>
              </w:rPr>
              <w:tab/>
            </w:r>
          </w:p>
        </w:tc>
        <w:tc>
          <w:tcPr>
            <w:tcW w:w="714" w:type="dxa"/>
            <w:tcBorders>
              <w:bottom w:val="single" w:sz="6" w:space="0" w:color="0075C9"/>
            </w:tcBorders>
            <w:noWrap/>
            <w:tcMar>
              <w:top w:w="0" w:type="dxa"/>
              <w:left w:w="0" w:type="dxa"/>
              <w:bottom w:w="0" w:type="dxa"/>
              <w:right w:w="0" w:type="dxa"/>
            </w:tcMar>
            <w:vAlign w:val="bottom"/>
            <w:hideMark/>
          </w:tcPr>
          <w:p w14:paraId="46169218" w14:textId="77777777" w:rsidR="0080449C" w:rsidRDefault="0080449C" w:rsidP="0080449C">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25,865</w:t>
            </w:r>
            <w:r>
              <w:rPr>
                <w:rFonts w:ascii="Arial" w:hAnsi="Arial" w:cs="Arial"/>
                <w:sz w:val="16"/>
                <w:szCs w:val="16"/>
              </w:rPr>
              <w:tab/>
            </w:r>
          </w:p>
        </w:tc>
        <w:tc>
          <w:tcPr>
            <w:tcW w:w="938" w:type="dxa"/>
            <w:tcBorders>
              <w:bottom w:val="single" w:sz="6" w:space="0" w:color="0075C9"/>
            </w:tcBorders>
            <w:noWrap/>
            <w:tcMar>
              <w:top w:w="0" w:type="dxa"/>
              <w:left w:w="0" w:type="dxa"/>
              <w:bottom w:w="0" w:type="dxa"/>
              <w:right w:w="0" w:type="dxa"/>
            </w:tcMar>
            <w:vAlign w:val="bottom"/>
            <w:hideMark/>
          </w:tcPr>
          <w:p w14:paraId="6AEF742A" w14:textId="77777777" w:rsidR="0080449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77,595</w:t>
            </w:r>
            <w:r>
              <w:rPr>
                <w:rFonts w:ascii="Arial" w:hAnsi="Arial" w:cs="Arial"/>
                <w:sz w:val="16"/>
                <w:szCs w:val="16"/>
              </w:rPr>
              <w:tab/>
            </w:r>
          </w:p>
        </w:tc>
        <w:tc>
          <w:tcPr>
            <w:tcW w:w="679" w:type="dxa"/>
            <w:tcBorders>
              <w:bottom w:val="single" w:sz="6" w:space="0" w:color="0075C9"/>
            </w:tcBorders>
            <w:noWrap/>
            <w:tcMar>
              <w:top w:w="0" w:type="dxa"/>
              <w:left w:w="0" w:type="dxa"/>
              <w:bottom w:w="0" w:type="dxa"/>
              <w:right w:w="0" w:type="dxa"/>
            </w:tcMar>
            <w:vAlign w:val="bottom"/>
            <w:hideMark/>
          </w:tcPr>
          <w:p w14:paraId="7F485A1A" w14:textId="77777777" w:rsidR="0080449C" w:rsidRDefault="0080449C" w:rsidP="0080449C">
            <w:pPr>
              <w:rPr>
                <w:rFonts w:ascii="Arial" w:hAnsi="Arial" w:cs="Arial"/>
                <w:sz w:val="16"/>
                <w:szCs w:val="16"/>
              </w:rPr>
            </w:pPr>
          </w:p>
        </w:tc>
        <w:tc>
          <w:tcPr>
            <w:tcW w:w="990" w:type="dxa"/>
            <w:tcBorders>
              <w:bottom w:val="single" w:sz="6" w:space="0" w:color="0075C9"/>
            </w:tcBorders>
            <w:noWrap/>
            <w:tcMar>
              <w:top w:w="0" w:type="dxa"/>
              <w:left w:w="0" w:type="dxa"/>
              <w:bottom w:w="0" w:type="dxa"/>
              <w:right w:w="0" w:type="dxa"/>
            </w:tcMar>
            <w:vAlign w:val="bottom"/>
            <w:hideMark/>
          </w:tcPr>
          <w:p w14:paraId="15B5988D" w14:textId="77777777" w:rsidR="0080449C" w:rsidRPr="00306F7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6,686,620</w:t>
            </w:r>
            <w:r>
              <w:rPr>
                <w:rFonts w:ascii="Arial" w:hAnsi="Arial" w:cs="Arial"/>
                <w:sz w:val="16"/>
                <w:szCs w:val="16"/>
              </w:rPr>
              <w:tab/>
            </w:r>
          </w:p>
        </w:tc>
      </w:tr>
      <w:tr w:rsidR="0080449C" w14:paraId="4EA602A2" w14:textId="77777777" w:rsidTr="009E0057">
        <w:tc>
          <w:tcPr>
            <w:tcW w:w="1575" w:type="dxa"/>
            <w:vMerge w:val="restart"/>
            <w:tcMar>
              <w:top w:w="0" w:type="dxa"/>
              <w:left w:w="0" w:type="dxa"/>
              <w:bottom w:w="40" w:type="dxa"/>
              <w:right w:w="0" w:type="dxa"/>
            </w:tcMar>
            <w:hideMark/>
          </w:tcPr>
          <w:p w14:paraId="29A6023B" w14:textId="77777777" w:rsidR="0080449C" w:rsidRPr="00306F7C" w:rsidRDefault="0080449C" w:rsidP="0080449C">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Amy E. Hood</w:t>
            </w:r>
          </w:p>
          <w:p w14:paraId="60B06A26" w14:textId="77777777" w:rsidR="0080449C" w:rsidRPr="00306F7C" w:rsidRDefault="0080449C" w:rsidP="0080449C">
            <w:pPr>
              <w:pStyle w:val="la2"/>
              <w:rPr>
                <w:rFonts w:ascii="Arial" w:hAnsi="Arial" w:cs="Arial"/>
                <w:sz w:val="16"/>
                <w:szCs w:val="16"/>
              </w:rPr>
            </w:pPr>
            <w:r>
              <w:rPr>
                <w:rFonts w:ascii="Arial" w:hAnsi="Arial" w:cs="Arial"/>
                <w:sz w:val="16"/>
                <w:szCs w:val="16"/>
              </w:rPr>
              <w:t> </w:t>
            </w:r>
          </w:p>
          <w:p w14:paraId="6AE5100A" w14:textId="77777777" w:rsidR="0080449C" w:rsidRDefault="0080449C" w:rsidP="0080449C">
            <w:pPr>
              <w:pStyle w:val="NormalWeb"/>
              <w:spacing w:before="0" w:beforeAutospacing="0" w:after="0" w:afterAutospacing="0"/>
              <w:rPr>
                <w:rFonts w:ascii="Arial" w:hAnsi="Arial" w:cs="Arial"/>
                <w:sz w:val="4"/>
                <w:szCs w:val="4"/>
              </w:rPr>
            </w:pPr>
            <w:r>
              <w:rPr>
                <w:rFonts w:ascii="Arial" w:hAnsi="Arial" w:cs="Arial"/>
                <w:sz w:val="4"/>
                <w:szCs w:val="4"/>
              </w:rPr>
              <w:t> </w:t>
            </w:r>
          </w:p>
          <w:p w14:paraId="70A54079" w14:textId="77777777" w:rsidR="0080449C" w:rsidRPr="00306F7C" w:rsidRDefault="0080449C" w:rsidP="0080449C">
            <w:pPr>
              <w:pStyle w:val="la2"/>
              <w:rPr>
                <w:rFonts w:ascii="Arial" w:hAnsi="Arial" w:cs="Arial"/>
                <w:sz w:val="16"/>
                <w:szCs w:val="16"/>
              </w:rPr>
            </w:pPr>
            <w:r>
              <w:rPr>
                <w:rFonts w:ascii="Arial" w:hAnsi="Arial" w:cs="Arial"/>
                <w:sz w:val="16"/>
                <w:szCs w:val="16"/>
              </w:rPr>
              <w:t> </w:t>
            </w:r>
          </w:p>
          <w:p w14:paraId="0EA75114" w14:textId="77777777" w:rsidR="0080449C" w:rsidRDefault="0080449C" w:rsidP="0080449C">
            <w:pPr>
              <w:pStyle w:val="NormalWeb"/>
              <w:spacing w:before="0" w:beforeAutospacing="0" w:after="0" w:afterAutospacing="0"/>
              <w:rPr>
                <w:rFonts w:ascii="Arial" w:hAnsi="Arial" w:cs="Arial"/>
                <w:sz w:val="4"/>
                <w:szCs w:val="4"/>
              </w:rPr>
            </w:pPr>
            <w:r>
              <w:rPr>
                <w:rFonts w:ascii="Arial" w:hAnsi="Arial" w:cs="Arial"/>
                <w:sz w:val="4"/>
                <w:szCs w:val="4"/>
              </w:rPr>
              <w:t> </w:t>
            </w:r>
          </w:p>
          <w:p w14:paraId="43DE2E21" w14:textId="77777777" w:rsidR="0080449C" w:rsidRPr="00306F7C" w:rsidRDefault="0080449C" w:rsidP="0080449C">
            <w:pPr>
              <w:pStyle w:val="la2"/>
              <w:rPr>
                <w:rFonts w:ascii="Arial" w:hAnsi="Arial" w:cs="Arial"/>
                <w:sz w:val="16"/>
                <w:szCs w:val="16"/>
              </w:rPr>
            </w:pPr>
            <w:r>
              <w:rPr>
                <w:rFonts w:ascii="Arial" w:hAnsi="Arial" w:cs="Arial"/>
                <w:sz w:val="16"/>
                <w:szCs w:val="16"/>
              </w:rPr>
              <w:t> </w:t>
            </w:r>
          </w:p>
          <w:p w14:paraId="68F1B8B3" w14:textId="3D9C74DD" w:rsidR="0080449C" w:rsidRPr="00306F7C" w:rsidRDefault="0080449C" w:rsidP="0080449C">
            <w:pPr>
              <w:pStyle w:val="NormalWeb"/>
              <w:spacing w:before="0" w:after="0"/>
              <w:rPr>
                <w:rFonts w:ascii="Arial" w:hAnsi="Arial" w:cs="Arial"/>
                <w:sz w:val="16"/>
                <w:szCs w:val="16"/>
              </w:rPr>
            </w:pPr>
            <w:r>
              <w:rPr>
                <w:rFonts w:ascii="Arial" w:hAnsi="Arial" w:cs="Arial"/>
                <w:sz w:val="4"/>
                <w:szCs w:val="4"/>
              </w:rPr>
              <w:t> </w:t>
            </w:r>
          </w:p>
        </w:tc>
        <w:tc>
          <w:tcPr>
            <w:tcW w:w="1512" w:type="dxa"/>
            <w:tcBorders>
              <w:bottom w:val="single" w:sz="6" w:space="0" w:color="595959"/>
            </w:tcBorders>
            <w:noWrap/>
            <w:tcMar>
              <w:top w:w="0" w:type="dxa"/>
              <w:left w:w="0" w:type="dxa"/>
              <w:bottom w:w="0" w:type="dxa"/>
              <w:right w:w="0" w:type="dxa"/>
            </w:tcMar>
            <w:vAlign w:val="bottom"/>
            <w:hideMark/>
          </w:tcPr>
          <w:p w14:paraId="1C478FA9" w14:textId="77777777" w:rsidR="0080449C" w:rsidRDefault="0080449C" w:rsidP="0080449C">
            <w:pPr>
              <w:rPr>
                <w:rFonts w:ascii="Arial" w:hAnsi="Arial" w:cs="Arial"/>
                <w:sz w:val="16"/>
                <w:szCs w:val="16"/>
              </w:rPr>
            </w:pPr>
            <w:r>
              <w:rPr>
                <w:rFonts w:ascii="Arial" w:hAnsi="Arial" w:cs="Arial"/>
                <w:sz w:val="16"/>
                <w:szCs w:val="16"/>
              </w:rPr>
              <w:t>2023 Cash Incentive</w:t>
            </w:r>
          </w:p>
        </w:tc>
        <w:tc>
          <w:tcPr>
            <w:tcW w:w="921" w:type="dxa"/>
            <w:tcBorders>
              <w:bottom w:val="single" w:sz="6" w:space="0" w:color="595959"/>
            </w:tcBorders>
            <w:noWrap/>
            <w:tcMar>
              <w:top w:w="0" w:type="dxa"/>
              <w:left w:w="0" w:type="dxa"/>
              <w:bottom w:w="0" w:type="dxa"/>
              <w:right w:w="0" w:type="dxa"/>
            </w:tcMar>
            <w:vAlign w:val="bottom"/>
            <w:hideMark/>
          </w:tcPr>
          <w:p w14:paraId="005EF7B4" w14:textId="0C57635A"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69" w:type="dxa"/>
            <w:tcBorders>
              <w:bottom w:val="single" w:sz="6" w:space="0" w:color="595959"/>
            </w:tcBorders>
            <w:noWrap/>
            <w:tcMar>
              <w:top w:w="0" w:type="dxa"/>
              <w:left w:w="0" w:type="dxa"/>
              <w:bottom w:w="0" w:type="dxa"/>
              <w:right w:w="0" w:type="dxa"/>
            </w:tcMar>
            <w:vAlign w:val="bottom"/>
            <w:hideMark/>
          </w:tcPr>
          <w:p w14:paraId="5651556F" w14:textId="77777777" w:rsidR="0080449C" w:rsidRPr="00306F7C" w:rsidRDefault="0080449C" w:rsidP="0080449C">
            <w:pPr>
              <w:pStyle w:val="NormalWeb"/>
              <w:tabs>
                <w:tab w:val="right" w:pos="820"/>
                <w:tab w:val="decimal" w:pos="860"/>
              </w:tabs>
              <w:spacing w:before="0" w:beforeAutospacing="0" w:after="20" w:afterAutospacing="0"/>
              <w:rPr>
                <w:rFonts w:ascii="Arial" w:hAnsi="Arial" w:cs="Arial"/>
                <w:sz w:val="16"/>
                <w:szCs w:val="16"/>
              </w:rPr>
            </w:pPr>
            <w:r>
              <w:rPr>
                <w:rFonts w:ascii="Arial" w:hAnsi="Arial" w:cs="Arial"/>
                <w:sz w:val="16"/>
                <w:szCs w:val="16"/>
              </w:rPr>
              <w:tab/>
              <w:t>0</w:t>
            </w:r>
            <w:r>
              <w:rPr>
                <w:rFonts w:ascii="Arial" w:hAnsi="Arial" w:cs="Arial"/>
                <w:sz w:val="16"/>
                <w:szCs w:val="16"/>
              </w:rPr>
              <w:tab/>
            </w:r>
          </w:p>
        </w:tc>
        <w:tc>
          <w:tcPr>
            <w:tcW w:w="904" w:type="dxa"/>
            <w:tcBorders>
              <w:bottom w:val="single" w:sz="6" w:space="0" w:color="595959"/>
            </w:tcBorders>
            <w:noWrap/>
            <w:tcMar>
              <w:top w:w="0" w:type="dxa"/>
              <w:left w:w="0" w:type="dxa"/>
              <w:bottom w:w="0" w:type="dxa"/>
              <w:right w:w="0" w:type="dxa"/>
            </w:tcMar>
            <w:vAlign w:val="bottom"/>
            <w:hideMark/>
          </w:tcPr>
          <w:p w14:paraId="09476124" w14:textId="77777777" w:rsidR="0080449C" w:rsidRDefault="0080449C" w:rsidP="0080449C">
            <w:pPr>
              <w:pStyle w:val="NormalWeb"/>
              <w:tabs>
                <w:tab w:val="right" w:pos="860"/>
                <w:tab w:val="decimal" w:pos="900"/>
              </w:tabs>
              <w:spacing w:before="0" w:beforeAutospacing="0" w:after="20" w:afterAutospacing="0"/>
              <w:rPr>
                <w:rFonts w:ascii="Arial" w:hAnsi="Arial" w:cs="Arial"/>
                <w:sz w:val="16"/>
                <w:szCs w:val="16"/>
              </w:rPr>
            </w:pPr>
            <w:r>
              <w:rPr>
                <w:rFonts w:ascii="Arial" w:hAnsi="Arial" w:cs="Arial"/>
                <w:sz w:val="16"/>
                <w:szCs w:val="16"/>
              </w:rPr>
              <w:tab/>
              <w:t>2,500,000</w:t>
            </w:r>
            <w:r>
              <w:rPr>
                <w:rFonts w:ascii="Arial" w:hAnsi="Arial" w:cs="Arial"/>
                <w:sz w:val="16"/>
                <w:szCs w:val="16"/>
              </w:rPr>
              <w:tab/>
            </w:r>
          </w:p>
        </w:tc>
        <w:tc>
          <w:tcPr>
            <w:tcW w:w="886" w:type="dxa"/>
            <w:tcBorders>
              <w:bottom w:val="single" w:sz="6" w:space="0" w:color="595959"/>
            </w:tcBorders>
            <w:noWrap/>
            <w:tcMar>
              <w:top w:w="0" w:type="dxa"/>
              <w:left w:w="0" w:type="dxa"/>
              <w:bottom w:w="0" w:type="dxa"/>
              <w:right w:w="0" w:type="dxa"/>
            </w:tcMar>
            <w:vAlign w:val="bottom"/>
            <w:hideMark/>
          </w:tcPr>
          <w:p w14:paraId="12664D77" w14:textId="77777777" w:rsidR="0080449C" w:rsidRDefault="0080449C" w:rsidP="0080449C">
            <w:pPr>
              <w:pStyle w:val="NormalWeb"/>
              <w:tabs>
                <w:tab w:val="right" w:pos="840"/>
                <w:tab w:val="decimal" w:pos="880"/>
              </w:tabs>
              <w:spacing w:before="0" w:beforeAutospacing="0" w:after="20" w:afterAutospacing="0"/>
              <w:rPr>
                <w:rFonts w:ascii="Arial" w:hAnsi="Arial" w:cs="Arial"/>
                <w:sz w:val="16"/>
                <w:szCs w:val="16"/>
              </w:rPr>
            </w:pPr>
            <w:r>
              <w:rPr>
                <w:rFonts w:ascii="Arial" w:hAnsi="Arial" w:cs="Arial"/>
                <w:sz w:val="16"/>
                <w:szCs w:val="16"/>
              </w:rPr>
              <w:tab/>
              <w:t>5,000,000</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hideMark/>
          </w:tcPr>
          <w:p w14:paraId="79B68839" w14:textId="49070BFB"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714" w:type="dxa"/>
            <w:tcBorders>
              <w:bottom w:val="single" w:sz="6" w:space="0" w:color="595959"/>
            </w:tcBorders>
            <w:noWrap/>
            <w:tcMar>
              <w:top w:w="0" w:type="dxa"/>
              <w:left w:w="0" w:type="dxa"/>
              <w:bottom w:w="0" w:type="dxa"/>
              <w:right w:w="0" w:type="dxa"/>
            </w:tcMar>
            <w:hideMark/>
          </w:tcPr>
          <w:p w14:paraId="6A94E32C" w14:textId="2E636A30"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hideMark/>
          </w:tcPr>
          <w:p w14:paraId="6CDC018C" w14:textId="36ED78AC"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679" w:type="dxa"/>
            <w:tcBorders>
              <w:bottom w:val="single" w:sz="6" w:space="0" w:color="595959"/>
            </w:tcBorders>
            <w:noWrap/>
            <w:tcMar>
              <w:top w:w="0" w:type="dxa"/>
              <w:left w:w="0" w:type="dxa"/>
              <w:bottom w:w="0" w:type="dxa"/>
              <w:right w:w="0" w:type="dxa"/>
            </w:tcMar>
            <w:hideMark/>
          </w:tcPr>
          <w:p w14:paraId="4F344DA5" w14:textId="4F3B3207"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90" w:type="dxa"/>
            <w:tcBorders>
              <w:bottom w:val="single" w:sz="6" w:space="0" w:color="595959"/>
            </w:tcBorders>
            <w:noWrap/>
            <w:tcMar>
              <w:top w:w="0" w:type="dxa"/>
              <w:left w:w="0" w:type="dxa"/>
              <w:bottom w:w="0" w:type="dxa"/>
              <w:right w:w="0" w:type="dxa"/>
            </w:tcMar>
            <w:hideMark/>
          </w:tcPr>
          <w:p w14:paraId="2493A176" w14:textId="2CFB24B0"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r>
      <w:tr w:rsidR="0080449C" w14:paraId="4B31E40F" w14:textId="77777777" w:rsidTr="00C71CC9">
        <w:tc>
          <w:tcPr>
            <w:tcW w:w="1575" w:type="dxa"/>
            <w:vMerge/>
            <w:tcMar>
              <w:top w:w="0" w:type="dxa"/>
              <w:left w:w="144" w:type="dxa"/>
              <w:bottom w:w="0" w:type="dxa"/>
              <w:right w:w="0" w:type="dxa"/>
            </w:tcMar>
            <w:hideMark/>
          </w:tcPr>
          <w:p w14:paraId="787B1BFC" w14:textId="05BC7375" w:rsidR="0080449C" w:rsidRDefault="0080449C" w:rsidP="0080449C">
            <w:pPr>
              <w:pStyle w:val="NormalWeb"/>
              <w:spacing w:before="0" w:after="0"/>
              <w:rPr>
                <w:rFonts w:ascii="Arial" w:hAnsi="Arial" w:cs="Arial"/>
                <w:sz w:val="4"/>
                <w:szCs w:val="4"/>
              </w:rPr>
            </w:pPr>
          </w:p>
        </w:tc>
        <w:tc>
          <w:tcPr>
            <w:tcW w:w="1512" w:type="dxa"/>
            <w:tcBorders>
              <w:bottom w:val="single" w:sz="6" w:space="0" w:color="595959"/>
            </w:tcBorders>
            <w:noWrap/>
            <w:tcMar>
              <w:top w:w="0" w:type="dxa"/>
              <w:left w:w="0" w:type="dxa"/>
              <w:bottom w:w="0" w:type="dxa"/>
              <w:right w:w="0" w:type="dxa"/>
            </w:tcMar>
            <w:vAlign w:val="bottom"/>
            <w:hideMark/>
          </w:tcPr>
          <w:p w14:paraId="25ED8A6F" w14:textId="77777777" w:rsidR="0080449C" w:rsidRDefault="0080449C" w:rsidP="0080449C">
            <w:pPr>
              <w:rPr>
                <w:rFonts w:ascii="Arial" w:hAnsi="Arial" w:cs="Arial"/>
                <w:sz w:val="16"/>
                <w:szCs w:val="16"/>
              </w:rPr>
            </w:pPr>
            <w:r>
              <w:rPr>
                <w:rFonts w:ascii="Arial" w:hAnsi="Arial" w:cs="Arial"/>
                <w:sz w:val="16"/>
                <w:szCs w:val="16"/>
              </w:rPr>
              <w:t>2023 PSA</w:t>
            </w:r>
          </w:p>
        </w:tc>
        <w:tc>
          <w:tcPr>
            <w:tcW w:w="921" w:type="dxa"/>
            <w:tcBorders>
              <w:bottom w:val="single" w:sz="6" w:space="0" w:color="595959"/>
            </w:tcBorders>
            <w:noWrap/>
            <w:tcMar>
              <w:top w:w="0" w:type="dxa"/>
              <w:left w:w="0" w:type="dxa"/>
              <w:bottom w:w="0" w:type="dxa"/>
              <w:right w:w="0" w:type="dxa"/>
            </w:tcMar>
            <w:vAlign w:val="bottom"/>
            <w:hideMark/>
          </w:tcPr>
          <w:p w14:paraId="24E48FC7"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hideMark/>
          </w:tcPr>
          <w:p w14:paraId="6F6C9BC2" w14:textId="09E837D6"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595959"/>
            </w:tcBorders>
            <w:noWrap/>
            <w:tcMar>
              <w:top w:w="0" w:type="dxa"/>
              <w:left w:w="0" w:type="dxa"/>
              <w:bottom w:w="0" w:type="dxa"/>
              <w:right w:w="0" w:type="dxa"/>
            </w:tcMar>
            <w:hideMark/>
          </w:tcPr>
          <w:p w14:paraId="34A052D8" w14:textId="6ACA2D43"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595959"/>
            </w:tcBorders>
            <w:noWrap/>
            <w:tcMar>
              <w:top w:w="0" w:type="dxa"/>
              <w:left w:w="0" w:type="dxa"/>
              <w:bottom w:w="0" w:type="dxa"/>
              <w:right w:w="0" w:type="dxa"/>
            </w:tcMar>
            <w:hideMark/>
          </w:tcPr>
          <w:p w14:paraId="0596FB91" w14:textId="4F6D86EB"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vAlign w:val="bottom"/>
            <w:hideMark/>
          </w:tcPr>
          <w:p w14:paraId="0C3DAE04" w14:textId="77777777" w:rsidR="0080449C" w:rsidRPr="00306F7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418</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354975BE" w14:textId="77777777" w:rsidR="0080449C" w:rsidRDefault="0080449C" w:rsidP="0080449C">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11,155</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5E36CCE5" w14:textId="77777777" w:rsidR="0080449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33,465</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775F42FB" w14:textId="77777777" w:rsidR="0080449C" w:rsidRDefault="0080449C" w:rsidP="0080449C">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1C999690" w14:textId="77777777" w:rsidR="0080449C" w:rsidRPr="00306F7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2,991,883</w:t>
            </w:r>
            <w:r>
              <w:rPr>
                <w:rFonts w:ascii="Arial" w:hAnsi="Arial" w:cs="Arial"/>
                <w:sz w:val="16"/>
                <w:szCs w:val="16"/>
              </w:rPr>
              <w:tab/>
            </w:r>
          </w:p>
        </w:tc>
      </w:tr>
      <w:tr w:rsidR="0080449C" w14:paraId="019BB077" w14:textId="77777777" w:rsidTr="00C71CC9">
        <w:tc>
          <w:tcPr>
            <w:tcW w:w="1575" w:type="dxa"/>
            <w:vMerge/>
            <w:tcMar>
              <w:top w:w="0" w:type="dxa"/>
              <w:left w:w="144" w:type="dxa"/>
              <w:bottom w:w="0" w:type="dxa"/>
              <w:right w:w="0" w:type="dxa"/>
            </w:tcMar>
            <w:hideMark/>
          </w:tcPr>
          <w:p w14:paraId="5900373D" w14:textId="677AE789" w:rsidR="0080449C" w:rsidRDefault="0080449C" w:rsidP="0080449C">
            <w:pPr>
              <w:pStyle w:val="NormalWeb"/>
              <w:spacing w:before="0" w:after="0"/>
              <w:rPr>
                <w:rFonts w:ascii="Arial" w:hAnsi="Arial" w:cs="Arial"/>
                <w:sz w:val="4"/>
                <w:szCs w:val="4"/>
              </w:rPr>
            </w:pPr>
          </w:p>
        </w:tc>
        <w:tc>
          <w:tcPr>
            <w:tcW w:w="1512" w:type="dxa"/>
            <w:tcBorders>
              <w:bottom w:val="single" w:sz="6" w:space="0" w:color="595959"/>
            </w:tcBorders>
            <w:noWrap/>
            <w:tcMar>
              <w:top w:w="0" w:type="dxa"/>
              <w:left w:w="0" w:type="dxa"/>
              <w:bottom w:w="0" w:type="dxa"/>
              <w:right w:w="0" w:type="dxa"/>
            </w:tcMar>
            <w:vAlign w:val="bottom"/>
            <w:hideMark/>
          </w:tcPr>
          <w:p w14:paraId="7853F58D" w14:textId="77777777" w:rsidR="0080449C" w:rsidRDefault="0080449C" w:rsidP="0080449C">
            <w:pPr>
              <w:rPr>
                <w:rFonts w:ascii="Arial" w:hAnsi="Arial" w:cs="Arial"/>
                <w:sz w:val="16"/>
                <w:szCs w:val="16"/>
              </w:rPr>
            </w:pPr>
            <w:r>
              <w:rPr>
                <w:rFonts w:ascii="Arial" w:hAnsi="Arial" w:cs="Arial"/>
                <w:sz w:val="16"/>
                <w:szCs w:val="16"/>
              </w:rPr>
              <w:t>2022 PSA</w:t>
            </w:r>
          </w:p>
        </w:tc>
        <w:tc>
          <w:tcPr>
            <w:tcW w:w="921" w:type="dxa"/>
            <w:tcBorders>
              <w:bottom w:val="single" w:sz="6" w:space="0" w:color="595959"/>
            </w:tcBorders>
            <w:noWrap/>
            <w:tcMar>
              <w:top w:w="0" w:type="dxa"/>
              <w:left w:w="0" w:type="dxa"/>
              <w:bottom w:w="0" w:type="dxa"/>
              <w:right w:w="0" w:type="dxa"/>
            </w:tcMar>
            <w:vAlign w:val="bottom"/>
            <w:hideMark/>
          </w:tcPr>
          <w:p w14:paraId="48000C9F"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hideMark/>
          </w:tcPr>
          <w:p w14:paraId="44F106E7" w14:textId="2CB2B49B"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595959"/>
            </w:tcBorders>
            <w:noWrap/>
            <w:tcMar>
              <w:top w:w="0" w:type="dxa"/>
              <w:left w:w="0" w:type="dxa"/>
              <w:bottom w:w="0" w:type="dxa"/>
              <w:right w:w="0" w:type="dxa"/>
            </w:tcMar>
            <w:hideMark/>
          </w:tcPr>
          <w:p w14:paraId="6DA2AF45" w14:textId="69375E38"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595959"/>
            </w:tcBorders>
            <w:noWrap/>
            <w:tcMar>
              <w:top w:w="0" w:type="dxa"/>
              <w:left w:w="0" w:type="dxa"/>
              <w:bottom w:w="0" w:type="dxa"/>
              <w:right w:w="0" w:type="dxa"/>
            </w:tcMar>
            <w:hideMark/>
          </w:tcPr>
          <w:p w14:paraId="152AE4BA" w14:textId="37DDC4FB"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vAlign w:val="bottom"/>
            <w:hideMark/>
          </w:tcPr>
          <w:p w14:paraId="29957463" w14:textId="77777777" w:rsidR="0080449C" w:rsidRPr="00306F7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362</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659EB202" w14:textId="77777777" w:rsidR="0080449C" w:rsidRDefault="0080449C" w:rsidP="0080449C">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9,662</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141FF1D6" w14:textId="77777777" w:rsidR="0080449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28,986</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288D62EE" w14:textId="77777777" w:rsidR="0080449C" w:rsidRDefault="0080449C" w:rsidP="0080449C">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5319032D" w14:textId="77777777" w:rsidR="0080449C" w:rsidRPr="00306F7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2,704,394</w:t>
            </w:r>
            <w:r>
              <w:rPr>
                <w:rFonts w:ascii="Arial" w:hAnsi="Arial" w:cs="Arial"/>
                <w:sz w:val="16"/>
                <w:szCs w:val="16"/>
              </w:rPr>
              <w:tab/>
            </w:r>
          </w:p>
        </w:tc>
      </w:tr>
      <w:tr w:rsidR="0080449C" w14:paraId="4F31FDF3" w14:textId="77777777" w:rsidTr="00C71CC9">
        <w:tc>
          <w:tcPr>
            <w:tcW w:w="1575" w:type="dxa"/>
            <w:vMerge/>
            <w:tcMar>
              <w:top w:w="0" w:type="dxa"/>
              <w:left w:w="144" w:type="dxa"/>
              <w:bottom w:w="0" w:type="dxa"/>
              <w:right w:w="0" w:type="dxa"/>
            </w:tcMar>
            <w:hideMark/>
          </w:tcPr>
          <w:p w14:paraId="19955EF4" w14:textId="76E77BE0" w:rsidR="0080449C" w:rsidRDefault="0080449C" w:rsidP="0080449C">
            <w:pPr>
              <w:pStyle w:val="NormalWeb"/>
              <w:spacing w:before="0" w:beforeAutospacing="0" w:after="0" w:afterAutospacing="0"/>
              <w:rPr>
                <w:rFonts w:ascii="Arial" w:hAnsi="Arial" w:cs="Arial"/>
                <w:sz w:val="4"/>
                <w:szCs w:val="4"/>
              </w:rPr>
            </w:pPr>
          </w:p>
        </w:tc>
        <w:tc>
          <w:tcPr>
            <w:tcW w:w="1512" w:type="dxa"/>
            <w:tcBorders>
              <w:bottom w:val="single" w:sz="6" w:space="0" w:color="595959"/>
            </w:tcBorders>
            <w:noWrap/>
            <w:tcMar>
              <w:top w:w="0" w:type="dxa"/>
              <w:left w:w="0" w:type="dxa"/>
              <w:bottom w:w="0" w:type="dxa"/>
              <w:right w:w="0" w:type="dxa"/>
            </w:tcMar>
            <w:vAlign w:val="bottom"/>
            <w:hideMark/>
          </w:tcPr>
          <w:p w14:paraId="126868EC" w14:textId="77777777" w:rsidR="0080449C" w:rsidRDefault="0080449C" w:rsidP="0080449C">
            <w:pPr>
              <w:rPr>
                <w:rFonts w:ascii="Arial" w:hAnsi="Arial" w:cs="Arial"/>
                <w:sz w:val="16"/>
                <w:szCs w:val="16"/>
              </w:rPr>
            </w:pPr>
            <w:r>
              <w:rPr>
                <w:rFonts w:ascii="Arial" w:hAnsi="Arial" w:cs="Arial"/>
                <w:sz w:val="16"/>
                <w:szCs w:val="16"/>
              </w:rPr>
              <w:t>2021 PSA</w:t>
            </w:r>
          </w:p>
        </w:tc>
        <w:tc>
          <w:tcPr>
            <w:tcW w:w="921" w:type="dxa"/>
            <w:tcBorders>
              <w:bottom w:val="single" w:sz="6" w:space="0" w:color="595959"/>
            </w:tcBorders>
            <w:noWrap/>
            <w:tcMar>
              <w:top w:w="0" w:type="dxa"/>
              <w:left w:w="0" w:type="dxa"/>
              <w:bottom w:w="0" w:type="dxa"/>
              <w:right w:w="0" w:type="dxa"/>
            </w:tcMar>
            <w:vAlign w:val="bottom"/>
            <w:hideMark/>
          </w:tcPr>
          <w:p w14:paraId="4A8DD4A4"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hideMark/>
          </w:tcPr>
          <w:p w14:paraId="3E23662E" w14:textId="5EC76A0F"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595959"/>
            </w:tcBorders>
            <w:noWrap/>
            <w:tcMar>
              <w:top w:w="0" w:type="dxa"/>
              <w:left w:w="0" w:type="dxa"/>
              <w:bottom w:w="0" w:type="dxa"/>
              <w:right w:w="0" w:type="dxa"/>
            </w:tcMar>
            <w:hideMark/>
          </w:tcPr>
          <w:p w14:paraId="6F13BAF0" w14:textId="0C26865B"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595959"/>
            </w:tcBorders>
            <w:noWrap/>
            <w:tcMar>
              <w:top w:w="0" w:type="dxa"/>
              <w:left w:w="0" w:type="dxa"/>
              <w:bottom w:w="0" w:type="dxa"/>
              <w:right w:w="0" w:type="dxa"/>
            </w:tcMar>
            <w:hideMark/>
          </w:tcPr>
          <w:p w14:paraId="62F78D49" w14:textId="51DAA255"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vAlign w:val="bottom"/>
            <w:hideMark/>
          </w:tcPr>
          <w:p w14:paraId="4DF40C59" w14:textId="77777777" w:rsidR="0080449C" w:rsidRPr="00306F7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402</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268AA294" w14:textId="77777777" w:rsidR="0080449C" w:rsidRDefault="0080449C" w:rsidP="0080449C">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10,715</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2F8BBEFD" w14:textId="77777777" w:rsidR="0080449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32,145</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1F2AC4BB" w14:textId="77777777" w:rsidR="0080449C" w:rsidRDefault="0080449C" w:rsidP="0080449C">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46CA0516" w14:textId="77777777" w:rsidR="0080449C" w:rsidRPr="00306F7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2,770,214</w:t>
            </w:r>
            <w:r>
              <w:rPr>
                <w:rFonts w:ascii="Arial" w:hAnsi="Arial" w:cs="Arial"/>
                <w:sz w:val="16"/>
                <w:szCs w:val="16"/>
              </w:rPr>
              <w:tab/>
            </w:r>
          </w:p>
        </w:tc>
      </w:tr>
      <w:tr w:rsidR="0080449C" w14:paraId="215AB66B" w14:textId="77777777" w:rsidTr="00E22BA0">
        <w:tc>
          <w:tcPr>
            <w:tcW w:w="1575" w:type="dxa"/>
            <w:vMerge/>
            <w:tcBorders>
              <w:bottom w:val="single" w:sz="6" w:space="0" w:color="0075C9"/>
            </w:tcBorders>
            <w:tcMar>
              <w:top w:w="0" w:type="dxa"/>
              <w:left w:w="0" w:type="dxa"/>
              <w:bottom w:w="40" w:type="dxa"/>
              <w:right w:w="0" w:type="dxa"/>
            </w:tcMar>
            <w:hideMark/>
          </w:tcPr>
          <w:p w14:paraId="3D6C7EE0" w14:textId="77777777" w:rsidR="0080449C" w:rsidRDefault="0080449C" w:rsidP="0080449C">
            <w:pPr>
              <w:rPr>
                <w:rFonts w:ascii="Arial" w:hAnsi="Arial" w:cs="Arial"/>
                <w:sz w:val="2"/>
                <w:szCs w:val="2"/>
              </w:rPr>
            </w:pPr>
          </w:p>
        </w:tc>
        <w:tc>
          <w:tcPr>
            <w:tcW w:w="1512" w:type="dxa"/>
            <w:tcBorders>
              <w:bottom w:val="single" w:sz="6" w:space="0" w:color="0075C9"/>
            </w:tcBorders>
            <w:noWrap/>
            <w:tcMar>
              <w:top w:w="0" w:type="dxa"/>
              <w:left w:w="0" w:type="dxa"/>
              <w:bottom w:w="0" w:type="dxa"/>
              <w:right w:w="0" w:type="dxa"/>
            </w:tcMar>
            <w:vAlign w:val="bottom"/>
            <w:hideMark/>
          </w:tcPr>
          <w:p w14:paraId="064C236E" w14:textId="77777777" w:rsidR="0080449C" w:rsidRDefault="0080449C" w:rsidP="0080449C">
            <w:pPr>
              <w:rPr>
                <w:rFonts w:ascii="Arial" w:hAnsi="Arial" w:cs="Arial"/>
                <w:sz w:val="16"/>
                <w:szCs w:val="16"/>
              </w:rPr>
            </w:pPr>
            <w:r>
              <w:rPr>
                <w:rFonts w:ascii="Arial" w:hAnsi="Arial" w:cs="Arial"/>
                <w:sz w:val="16"/>
                <w:szCs w:val="16"/>
              </w:rPr>
              <w:t>2023 Stock Award</w:t>
            </w:r>
          </w:p>
        </w:tc>
        <w:tc>
          <w:tcPr>
            <w:tcW w:w="921" w:type="dxa"/>
            <w:tcBorders>
              <w:bottom w:val="single" w:sz="6" w:space="0" w:color="0075C9"/>
            </w:tcBorders>
            <w:noWrap/>
            <w:tcMar>
              <w:top w:w="0" w:type="dxa"/>
              <w:left w:w="0" w:type="dxa"/>
              <w:bottom w:w="0" w:type="dxa"/>
              <w:right w:w="0" w:type="dxa"/>
            </w:tcMar>
            <w:vAlign w:val="bottom"/>
            <w:hideMark/>
          </w:tcPr>
          <w:p w14:paraId="31F7F473"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0075C9"/>
            </w:tcBorders>
            <w:noWrap/>
            <w:tcMar>
              <w:top w:w="0" w:type="dxa"/>
              <w:left w:w="0" w:type="dxa"/>
              <w:bottom w:w="0" w:type="dxa"/>
              <w:right w:w="0" w:type="dxa"/>
            </w:tcMar>
            <w:hideMark/>
          </w:tcPr>
          <w:p w14:paraId="1069B02E" w14:textId="233CB3CB"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0075C9"/>
            </w:tcBorders>
            <w:noWrap/>
            <w:tcMar>
              <w:top w:w="0" w:type="dxa"/>
              <w:left w:w="0" w:type="dxa"/>
              <w:bottom w:w="0" w:type="dxa"/>
              <w:right w:w="0" w:type="dxa"/>
            </w:tcMar>
            <w:hideMark/>
          </w:tcPr>
          <w:p w14:paraId="4198845E" w14:textId="3CFCF5C6"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0075C9"/>
            </w:tcBorders>
            <w:noWrap/>
            <w:tcMar>
              <w:top w:w="0" w:type="dxa"/>
              <w:left w:w="0" w:type="dxa"/>
              <w:bottom w:w="0" w:type="dxa"/>
              <w:right w:w="0" w:type="dxa"/>
            </w:tcMar>
            <w:hideMark/>
          </w:tcPr>
          <w:p w14:paraId="131AD1B5" w14:textId="4B9265DA"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0075C9"/>
            </w:tcBorders>
            <w:noWrap/>
            <w:tcMar>
              <w:top w:w="0" w:type="dxa"/>
              <w:left w:w="0" w:type="dxa"/>
              <w:bottom w:w="0" w:type="dxa"/>
              <w:right w:w="0" w:type="dxa"/>
            </w:tcMar>
            <w:hideMark/>
          </w:tcPr>
          <w:p w14:paraId="06EBD224" w14:textId="6023518D"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714" w:type="dxa"/>
            <w:tcBorders>
              <w:bottom w:val="single" w:sz="6" w:space="0" w:color="0075C9"/>
            </w:tcBorders>
            <w:noWrap/>
            <w:tcMar>
              <w:top w:w="0" w:type="dxa"/>
              <w:left w:w="0" w:type="dxa"/>
              <w:bottom w:w="0" w:type="dxa"/>
              <w:right w:w="0" w:type="dxa"/>
            </w:tcMar>
            <w:hideMark/>
          </w:tcPr>
          <w:p w14:paraId="1FE96A33" w14:textId="45FC7639"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0075C9"/>
            </w:tcBorders>
            <w:noWrap/>
            <w:tcMar>
              <w:top w:w="0" w:type="dxa"/>
              <w:left w:w="0" w:type="dxa"/>
              <w:bottom w:w="0" w:type="dxa"/>
              <w:right w:w="0" w:type="dxa"/>
            </w:tcMar>
            <w:hideMark/>
          </w:tcPr>
          <w:p w14:paraId="589BE611" w14:textId="0150470C"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679" w:type="dxa"/>
            <w:tcBorders>
              <w:bottom w:val="single" w:sz="6" w:space="0" w:color="0075C9"/>
            </w:tcBorders>
            <w:noWrap/>
            <w:tcMar>
              <w:top w:w="0" w:type="dxa"/>
              <w:left w:w="0" w:type="dxa"/>
              <w:bottom w:w="0" w:type="dxa"/>
              <w:right w:w="0" w:type="dxa"/>
            </w:tcMar>
            <w:vAlign w:val="bottom"/>
            <w:hideMark/>
          </w:tcPr>
          <w:p w14:paraId="6FD5F536" w14:textId="77777777" w:rsidR="0080449C" w:rsidRPr="00306F7C" w:rsidRDefault="0080449C" w:rsidP="0080449C">
            <w:pPr>
              <w:pStyle w:val="NormalWeb"/>
              <w:tabs>
                <w:tab w:val="right" w:pos="600"/>
                <w:tab w:val="decimal" w:pos="640"/>
              </w:tabs>
              <w:spacing w:before="0" w:beforeAutospacing="0" w:after="20" w:afterAutospacing="0"/>
              <w:rPr>
                <w:rFonts w:ascii="Arial" w:hAnsi="Arial" w:cs="Arial"/>
                <w:sz w:val="16"/>
                <w:szCs w:val="16"/>
              </w:rPr>
            </w:pPr>
            <w:r>
              <w:rPr>
                <w:rFonts w:ascii="Arial" w:hAnsi="Arial" w:cs="Arial"/>
                <w:sz w:val="16"/>
                <w:szCs w:val="16"/>
              </w:rPr>
              <w:tab/>
              <w:t>33,465</w:t>
            </w:r>
            <w:r>
              <w:rPr>
                <w:rFonts w:ascii="Arial" w:hAnsi="Arial" w:cs="Arial"/>
                <w:sz w:val="16"/>
                <w:szCs w:val="16"/>
              </w:rPr>
              <w:tab/>
            </w:r>
          </w:p>
        </w:tc>
        <w:tc>
          <w:tcPr>
            <w:tcW w:w="990" w:type="dxa"/>
            <w:tcBorders>
              <w:bottom w:val="single" w:sz="6" w:space="0" w:color="0075C9"/>
            </w:tcBorders>
            <w:noWrap/>
            <w:tcMar>
              <w:top w:w="0" w:type="dxa"/>
              <w:left w:w="0" w:type="dxa"/>
              <w:bottom w:w="0" w:type="dxa"/>
              <w:right w:w="0" w:type="dxa"/>
            </w:tcMar>
            <w:vAlign w:val="bottom"/>
            <w:hideMark/>
          </w:tcPr>
          <w:p w14:paraId="7E2D0D0D" w14:textId="77777777" w:rsidR="0080449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7,984,210</w:t>
            </w:r>
            <w:r>
              <w:rPr>
                <w:rFonts w:ascii="Arial" w:hAnsi="Arial" w:cs="Arial"/>
                <w:sz w:val="16"/>
                <w:szCs w:val="16"/>
              </w:rPr>
              <w:tab/>
            </w:r>
          </w:p>
        </w:tc>
      </w:tr>
      <w:tr w:rsidR="0080449C" w14:paraId="52AC4C81" w14:textId="77777777" w:rsidTr="009B658B">
        <w:tc>
          <w:tcPr>
            <w:tcW w:w="1575" w:type="dxa"/>
            <w:vMerge w:val="restart"/>
            <w:tcMar>
              <w:top w:w="0" w:type="dxa"/>
              <w:left w:w="0" w:type="dxa"/>
              <w:bottom w:w="40" w:type="dxa"/>
              <w:right w:w="0" w:type="dxa"/>
            </w:tcMar>
            <w:hideMark/>
          </w:tcPr>
          <w:p w14:paraId="4B381FB9" w14:textId="77777777" w:rsidR="0080449C" w:rsidRPr="00306F7C" w:rsidRDefault="0080449C" w:rsidP="0080449C">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Judson B. Althoff</w:t>
            </w:r>
          </w:p>
          <w:p w14:paraId="4325E448" w14:textId="77777777" w:rsidR="0080449C" w:rsidRPr="00306F7C" w:rsidRDefault="0080449C" w:rsidP="0080449C">
            <w:pPr>
              <w:pStyle w:val="la2"/>
              <w:rPr>
                <w:rFonts w:ascii="Arial" w:hAnsi="Arial" w:cs="Arial"/>
                <w:sz w:val="16"/>
                <w:szCs w:val="16"/>
              </w:rPr>
            </w:pPr>
            <w:r>
              <w:rPr>
                <w:rFonts w:ascii="Arial" w:hAnsi="Arial" w:cs="Arial"/>
                <w:sz w:val="16"/>
                <w:szCs w:val="16"/>
              </w:rPr>
              <w:t> </w:t>
            </w:r>
          </w:p>
          <w:p w14:paraId="1FB38376" w14:textId="77777777" w:rsidR="0080449C" w:rsidRDefault="0080449C" w:rsidP="0080449C">
            <w:pPr>
              <w:pStyle w:val="NormalWeb"/>
              <w:spacing w:before="0" w:beforeAutospacing="0" w:after="0" w:afterAutospacing="0"/>
              <w:rPr>
                <w:rFonts w:ascii="Arial" w:hAnsi="Arial" w:cs="Arial"/>
                <w:sz w:val="4"/>
                <w:szCs w:val="4"/>
              </w:rPr>
            </w:pPr>
            <w:r>
              <w:rPr>
                <w:rFonts w:ascii="Arial" w:hAnsi="Arial" w:cs="Arial"/>
                <w:sz w:val="4"/>
                <w:szCs w:val="4"/>
              </w:rPr>
              <w:t> </w:t>
            </w:r>
          </w:p>
          <w:p w14:paraId="44C70F86" w14:textId="77777777" w:rsidR="0080449C" w:rsidRPr="00306F7C" w:rsidRDefault="0080449C" w:rsidP="0080449C">
            <w:pPr>
              <w:pStyle w:val="la2"/>
              <w:rPr>
                <w:rFonts w:ascii="Arial" w:hAnsi="Arial" w:cs="Arial"/>
                <w:sz w:val="16"/>
                <w:szCs w:val="16"/>
              </w:rPr>
            </w:pPr>
            <w:r>
              <w:rPr>
                <w:rFonts w:ascii="Arial" w:hAnsi="Arial" w:cs="Arial"/>
                <w:sz w:val="16"/>
                <w:szCs w:val="16"/>
              </w:rPr>
              <w:t> </w:t>
            </w:r>
          </w:p>
          <w:p w14:paraId="23AB505D" w14:textId="77777777" w:rsidR="0080449C" w:rsidRDefault="0080449C" w:rsidP="0080449C">
            <w:pPr>
              <w:pStyle w:val="NormalWeb"/>
              <w:spacing w:before="0" w:beforeAutospacing="0" w:after="0" w:afterAutospacing="0"/>
              <w:rPr>
                <w:rFonts w:ascii="Arial" w:hAnsi="Arial" w:cs="Arial"/>
                <w:sz w:val="4"/>
                <w:szCs w:val="4"/>
              </w:rPr>
            </w:pPr>
            <w:r>
              <w:rPr>
                <w:rFonts w:ascii="Arial" w:hAnsi="Arial" w:cs="Arial"/>
                <w:sz w:val="4"/>
                <w:szCs w:val="4"/>
              </w:rPr>
              <w:t> </w:t>
            </w:r>
          </w:p>
          <w:p w14:paraId="7E36BA9A" w14:textId="77777777" w:rsidR="0080449C" w:rsidRPr="00306F7C" w:rsidRDefault="0080449C" w:rsidP="0080449C">
            <w:pPr>
              <w:pStyle w:val="la2"/>
              <w:rPr>
                <w:rFonts w:ascii="Arial" w:hAnsi="Arial" w:cs="Arial"/>
                <w:sz w:val="16"/>
                <w:szCs w:val="16"/>
              </w:rPr>
            </w:pPr>
            <w:r>
              <w:rPr>
                <w:rFonts w:ascii="Arial" w:hAnsi="Arial" w:cs="Arial"/>
                <w:sz w:val="16"/>
                <w:szCs w:val="16"/>
              </w:rPr>
              <w:t> </w:t>
            </w:r>
          </w:p>
          <w:p w14:paraId="02E8C684" w14:textId="14A19657" w:rsidR="0080449C" w:rsidRPr="00306F7C" w:rsidRDefault="0080449C" w:rsidP="0080449C">
            <w:pPr>
              <w:pStyle w:val="NormalWeb"/>
              <w:spacing w:before="0" w:after="0"/>
              <w:rPr>
                <w:rFonts w:ascii="Arial" w:hAnsi="Arial" w:cs="Arial"/>
                <w:sz w:val="16"/>
                <w:szCs w:val="16"/>
              </w:rPr>
            </w:pPr>
            <w:r>
              <w:rPr>
                <w:rFonts w:ascii="Arial" w:hAnsi="Arial" w:cs="Arial"/>
                <w:sz w:val="4"/>
                <w:szCs w:val="4"/>
              </w:rPr>
              <w:t> </w:t>
            </w:r>
          </w:p>
        </w:tc>
        <w:tc>
          <w:tcPr>
            <w:tcW w:w="1512" w:type="dxa"/>
            <w:tcBorders>
              <w:bottom w:val="single" w:sz="6" w:space="0" w:color="595959"/>
            </w:tcBorders>
            <w:noWrap/>
            <w:tcMar>
              <w:top w:w="0" w:type="dxa"/>
              <w:left w:w="0" w:type="dxa"/>
              <w:bottom w:w="0" w:type="dxa"/>
              <w:right w:w="0" w:type="dxa"/>
            </w:tcMar>
            <w:vAlign w:val="bottom"/>
            <w:hideMark/>
          </w:tcPr>
          <w:p w14:paraId="37145892" w14:textId="77777777" w:rsidR="0080449C" w:rsidRDefault="0080449C" w:rsidP="0080449C">
            <w:pPr>
              <w:rPr>
                <w:rFonts w:ascii="Arial" w:hAnsi="Arial" w:cs="Arial"/>
                <w:sz w:val="16"/>
                <w:szCs w:val="16"/>
              </w:rPr>
            </w:pPr>
            <w:r>
              <w:rPr>
                <w:rFonts w:ascii="Arial" w:hAnsi="Arial" w:cs="Arial"/>
                <w:sz w:val="16"/>
                <w:szCs w:val="16"/>
              </w:rPr>
              <w:t>2023 Cash Incentive</w:t>
            </w:r>
          </w:p>
        </w:tc>
        <w:tc>
          <w:tcPr>
            <w:tcW w:w="921" w:type="dxa"/>
            <w:tcBorders>
              <w:bottom w:val="single" w:sz="6" w:space="0" w:color="595959"/>
            </w:tcBorders>
            <w:noWrap/>
            <w:tcMar>
              <w:top w:w="0" w:type="dxa"/>
              <w:left w:w="0" w:type="dxa"/>
              <w:bottom w:w="0" w:type="dxa"/>
              <w:right w:w="0" w:type="dxa"/>
            </w:tcMar>
            <w:vAlign w:val="bottom"/>
            <w:hideMark/>
          </w:tcPr>
          <w:p w14:paraId="2296AFBC" w14:textId="7FC23EC5"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69" w:type="dxa"/>
            <w:tcBorders>
              <w:bottom w:val="single" w:sz="6" w:space="0" w:color="595959"/>
            </w:tcBorders>
            <w:noWrap/>
            <w:tcMar>
              <w:top w:w="0" w:type="dxa"/>
              <w:left w:w="0" w:type="dxa"/>
              <w:bottom w:w="0" w:type="dxa"/>
              <w:right w:w="0" w:type="dxa"/>
            </w:tcMar>
            <w:vAlign w:val="bottom"/>
            <w:hideMark/>
          </w:tcPr>
          <w:p w14:paraId="09E08FD9" w14:textId="77777777" w:rsidR="0080449C" w:rsidRPr="00306F7C" w:rsidRDefault="0080449C" w:rsidP="0080449C">
            <w:pPr>
              <w:pStyle w:val="NormalWeb"/>
              <w:tabs>
                <w:tab w:val="right" w:pos="820"/>
                <w:tab w:val="decimal" w:pos="860"/>
              </w:tabs>
              <w:spacing w:before="0" w:beforeAutospacing="0" w:after="20" w:afterAutospacing="0"/>
              <w:rPr>
                <w:rFonts w:ascii="Arial" w:hAnsi="Arial" w:cs="Arial"/>
                <w:sz w:val="16"/>
                <w:szCs w:val="16"/>
              </w:rPr>
            </w:pPr>
            <w:r>
              <w:rPr>
                <w:rFonts w:ascii="Arial" w:hAnsi="Arial" w:cs="Arial"/>
                <w:sz w:val="16"/>
                <w:szCs w:val="16"/>
              </w:rPr>
              <w:tab/>
              <w:t>0</w:t>
            </w:r>
            <w:r>
              <w:rPr>
                <w:rFonts w:ascii="Arial" w:hAnsi="Arial" w:cs="Arial"/>
                <w:sz w:val="16"/>
                <w:szCs w:val="16"/>
              </w:rPr>
              <w:tab/>
            </w:r>
          </w:p>
        </w:tc>
        <w:tc>
          <w:tcPr>
            <w:tcW w:w="904" w:type="dxa"/>
            <w:tcBorders>
              <w:bottom w:val="single" w:sz="6" w:space="0" w:color="595959"/>
            </w:tcBorders>
            <w:noWrap/>
            <w:tcMar>
              <w:top w:w="0" w:type="dxa"/>
              <w:left w:w="0" w:type="dxa"/>
              <w:bottom w:w="0" w:type="dxa"/>
              <w:right w:w="0" w:type="dxa"/>
            </w:tcMar>
            <w:vAlign w:val="bottom"/>
            <w:hideMark/>
          </w:tcPr>
          <w:p w14:paraId="06FB356D" w14:textId="77777777" w:rsidR="0080449C" w:rsidRDefault="0080449C" w:rsidP="0080449C">
            <w:pPr>
              <w:pStyle w:val="NormalWeb"/>
              <w:tabs>
                <w:tab w:val="right" w:pos="860"/>
                <w:tab w:val="decimal" w:pos="900"/>
              </w:tabs>
              <w:spacing w:before="0" w:beforeAutospacing="0" w:after="20" w:afterAutospacing="0"/>
              <w:rPr>
                <w:rFonts w:ascii="Arial" w:hAnsi="Arial" w:cs="Arial"/>
                <w:sz w:val="16"/>
                <w:szCs w:val="16"/>
              </w:rPr>
            </w:pPr>
            <w:r>
              <w:rPr>
                <w:rFonts w:ascii="Arial" w:hAnsi="Arial" w:cs="Arial"/>
                <w:sz w:val="16"/>
                <w:szCs w:val="16"/>
              </w:rPr>
              <w:tab/>
              <w:t>2,400,000</w:t>
            </w:r>
            <w:r>
              <w:rPr>
                <w:rFonts w:ascii="Arial" w:hAnsi="Arial" w:cs="Arial"/>
                <w:sz w:val="16"/>
                <w:szCs w:val="16"/>
              </w:rPr>
              <w:tab/>
            </w:r>
          </w:p>
        </w:tc>
        <w:tc>
          <w:tcPr>
            <w:tcW w:w="886" w:type="dxa"/>
            <w:tcBorders>
              <w:bottom w:val="single" w:sz="6" w:space="0" w:color="595959"/>
            </w:tcBorders>
            <w:noWrap/>
            <w:tcMar>
              <w:top w:w="0" w:type="dxa"/>
              <w:left w:w="0" w:type="dxa"/>
              <w:bottom w:w="0" w:type="dxa"/>
              <w:right w:w="0" w:type="dxa"/>
            </w:tcMar>
            <w:vAlign w:val="bottom"/>
            <w:hideMark/>
          </w:tcPr>
          <w:p w14:paraId="6E3D55E9" w14:textId="77777777" w:rsidR="0080449C" w:rsidRDefault="0080449C" w:rsidP="0080449C">
            <w:pPr>
              <w:pStyle w:val="NormalWeb"/>
              <w:tabs>
                <w:tab w:val="right" w:pos="840"/>
                <w:tab w:val="decimal" w:pos="880"/>
              </w:tabs>
              <w:spacing w:before="0" w:beforeAutospacing="0" w:after="20" w:afterAutospacing="0"/>
              <w:rPr>
                <w:rFonts w:ascii="Arial" w:hAnsi="Arial" w:cs="Arial"/>
                <w:sz w:val="16"/>
                <w:szCs w:val="16"/>
              </w:rPr>
            </w:pPr>
            <w:r>
              <w:rPr>
                <w:rFonts w:ascii="Arial" w:hAnsi="Arial" w:cs="Arial"/>
                <w:sz w:val="16"/>
                <w:szCs w:val="16"/>
              </w:rPr>
              <w:tab/>
              <w:t>4,800,000</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hideMark/>
          </w:tcPr>
          <w:p w14:paraId="4215B824" w14:textId="6173B7A5"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714" w:type="dxa"/>
            <w:tcBorders>
              <w:bottom w:val="single" w:sz="6" w:space="0" w:color="595959"/>
            </w:tcBorders>
            <w:noWrap/>
            <w:tcMar>
              <w:top w:w="0" w:type="dxa"/>
              <w:left w:w="0" w:type="dxa"/>
              <w:bottom w:w="0" w:type="dxa"/>
              <w:right w:w="0" w:type="dxa"/>
            </w:tcMar>
            <w:hideMark/>
          </w:tcPr>
          <w:p w14:paraId="56461784" w14:textId="2F59166D"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hideMark/>
          </w:tcPr>
          <w:p w14:paraId="5A010602" w14:textId="07BE1324"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679" w:type="dxa"/>
            <w:tcBorders>
              <w:bottom w:val="single" w:sz="6" w:space="0" w:color="595959"/>
            </w:tcBorders>
            <w:noWrap/>
            <w:tcMar>
              <w:top w:w="0" w:type="dxa"/>
              <w:left w:w="0" w:type="dxa"/>
              <w:bottom w:w="0" w:type="dxa"/>
              <w:right w:w="0" w:type="dxa"/>
            </w:tcMar>
            <w:hideMark/>
          </w:tcPr>
          <w:p w14:paraId="74505982" w14:textId="21F100C1"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90" w:type="dxa"/>
            <w:tcBorders>
              <w:bottom w:val="single" w:sz="6" w:space="0" w:color="595959"/>
            </w:tcBorders>
            <w:noWrap/>
            <w:tcMar>
              <w:top w:w="0" w:type="dxa"/>
              <w:left w:w="0" w:type="dxa"/>
              <w:bottom w:w="0" w:type="dxa"/>
              <w:right w:w="0" w:type="dxa"/>
            </w:tcMar>
            <w:hideMark/>
          </w:tcPr>
          <w:p w14:paraId="4986C7D0" w14:textId="35B6BA31"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r>
      <w:tr w:rsidR="0080449C" w14:paraId="3BD288E3" w14:textId="77777777" w:rsidTr="00DC0999">
        <w:tc>
          <w:tcPr>
            <w:tcW w:w="1575" w:type="dxa"/>
            <w:vMerge/>
            <w:tcMar>
              <w:top w:w="0" w:type="dxa"/>
              <w:left w:w="144" w:type="dxa"/>
              <w:bottom w:w="0" w:type="dxa"/>
              <w:right w:w="0" w:type="dxa"/>
            </w:tcMar>
            <w:hideMark/>
          </w:tcPr>
          <w:p w14:paraId="2024611E" w14:textId="385C6269" w:rsidR="0080449C" w:rsidRDefault="0080449C" w:rsidP="0080449C">
            <w:pPr>
              <w:pStyle w:val="NormalWeb"/>
              <w:spacing w:before="0" w:after="0"/>
              <w:rPr>
                <w:rFonts w:ascii="Arial" w:hAnsi="Arial" w:cs="Arial"/>
                <w:sz w:val="4"/>
                <w:szCs w:val="4"/>
              </w:rPr>
            </w:pPr>
          </w:p>
        </w:tc>
        <w:tc>
          <w:tcPr>
            <w:tcW w:w="1512" w:type="dxa"/>
            <w:tcBorders>
              <w:bottom w:val="single" w:sz="6" w:space="0" w:color="595959"/>
            </w:tcBorders>
            <w:noWrap/>
            <w:tcMar>
              <w:top w:w="0" w:type="dxa"/>
              <w:left w:w="0" w:type="dxa"/>
              <w:bottom w:w="0" w:type="dxa"/>
              <w:right w:w="0" w:type="dxa"/>
            </w:tcMar>
            <w:vAlign w:val="bottom"/>
            <w:hideMark/>
          </w:tcPr>
          <w:p w14:paraId="2EAE90F2" w14:textId="77777777" w:rsidR="0080449C" w:rsidRDefault="0080449C" w:rsidP="0080449C">
            <w:pPr>
              <w:rPr>
                <w:rFonts w:ascii="Arial" w:hAnsi="Arial" w:cs="Arial"/>
                <w:sz w:val="16"/>
                <w:szCs w:val="16"/>
              </w:rPr>
            </w:pPr>
            <w:r>
              <w:rPr>
                <w:rFonts w:ascii="Arial" w:hAnsi="Arial" w:cs="Arial"/>
                <w:sz w:val="16"/>
                <w:szCs w:val="16"/>
              </w:rPr>
              <w:t>2023 PSA</w:t>
            </w:r>
          </w:p>
        </w:tc>
        <w:tc>
          <w:tcPr>
            <w:tcW w:w="921" w:type="dxa"/>
            <w:tcBorders>
              <w:bottom w:val="single" w:sz="6" w:space="0" w:color="595959"/>
            </w:tcBorders>
            <w:noWrap/>
            <w:tcMar>
              <w:top w:w="0" w:type="dxa"/>
              <w:left w:w="0" w:type="dxa"/>
              <w:bottom w:w="0" w:type="dxa"/>
              <w:right w:w="0" w:type="dxa"/>
            </w:tcMar>
            <w:vAlign w:val="bottom"/>
            <w:hideMark/>
          </w:tcPr>
          <w:p w14:paraId="79FB4D9B"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hideMark/>
          </w:tcPr>
          <w:p w14:paraId="38DD2E44" w14:textId="1AB71CA3"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595959"/>
            </w:tcBorders>
            <w:noWrap/>
            <w:tcMar>
              <w:top w:w="0" w:type="dxa"/>
              <w:left w:w="0" w:type="dxa"/>
              <w:bottom w:w="0" w:type="dxa"/>
              <w:right w:w="0" w:type="dxa"/>
            </w:tcMar>
            <w:hideMark/>
          </w:tcPr>
          <w:p w14:paraId="1844C364" w14:textId="68124F42"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595959"/>
            </w:tcBorders>
            <w:noWrap/>
            <w:tcMar>
              <w:top w:w="0" w:type="dxa"/>
              <w:left w:w="0" w:type="dxa"/>
              <w:bottom w:w="0" w:type="dxa"/>
              <w:right w:w="0" w:type="dxa"/>
            </w:tcMar>
            <w:hideMark/>
          </w:tcPr>
          <w:p w14:paraId="2108A141" w14:textId="354CF892"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vAlign w:val="bottom"/>
            <w:hideMark/>
          </w:tcPr>
          <w:p w14:paraId="631F10DB" w14:textId="77777777" w:rsidR="0080449C" w:rsidRPr="00306F7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350</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39D67E05" w14:textId="77777777" w:rsidR="0080449C" w:rsidRDefault="0080449C" w:rsidP="0080449C">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9,332</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74AD6532" w14:textId="77777777" w:rsidR="0080449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27,996</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hideMark/>
          </w:tcPr>
          <w:p w14:paraId="3B103822" w14:textId="5C8A619D"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90" w:type="dxa"/>
            <w:tcBorders>
              <w:bottom w:val="single" w:sz="6" w:space="0" w:color="595959"/>
            </w:tcBorders>
            <w:noWrap/>
            <w:tcMar>
              <w:top w:w="0" w:type="dxa"/>
              <w:left w:w="0" w:type="dxa"/>
              <w:bottom w:w="0" w:type="dxa"/>
              <w:right w:w="0" w:type="dxa"/>
            </w:tcMar>
            <w:vAlign w:val="bottom"/>
            <w:hideMark/>
          </w:tcPr>
          <w:p w14:paraId="78464BB0" w14:textId="77777777" w:rsidR="0080449C" w:rsidRPr="00306F7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2,502,936</w:t>
            </w:r>
            <w:r>
              <w:rPr>
                <w:rFonts w:ascii="Arial" w:hAnsi="Arial" w:cs="Arial"/>
                <w:sz w:val="16"/>
                <w:szCs w:val="16"/>
              </w:rPr>
              <w:tab/>
            </w:r>
          </w:p>
        </w:tc>
      </w:tr>
      <w:tr w:rsidR="0080449C" w14:paraId="0F94DE3D" w14:textId="77777777" w:rsidTr="00DC0999">
        <w:tc>
          <w:tcPr>
            <w:tcW w:w="1575" w:type="dxa"/>
            <w:vMerge/>
            <w:tcMar>
              <w:top w:w="0" w:type="dxa"/>
              <w:left w:w="144" w:type="dxa"/>
              <w:bottom w:w="0" w:type="dxa"/>
              <w:right w:w="0" w:type="dxa"/>
            </w:tcMar>
            <w:hideMark/>
          </w:tcPr>
          <w:p w14:paraId="296D72B3" w14:textId="315E5A91" w:rsidR="0080449C" w:rsidRDefault="0080449C" w:rsidP="0080449C">
            <w:pPr>
              <w:pStyle w:val="NormalWeb"/>
              <w:spacing w:before="0" w:after="0"/>
              <w:rPr>
                <w:rFonts w:ascii="Arial" w:hAnsi="Arial" w:cs="Arial"/>
                <w:sz w:val="4"/>
                <w:szCs w:val="4"/>
              </w:rPr>
            </w:pPr>
          </w:p>
        </w:tc>
        <w:tc>
          <w:tcPr>
            <w:tcW w:w="1512" w:type="dxa"/>
            <w:tcBorders>
              <w:bottom w:val="single" w:sz="6" w:space="0" w:color="595959"/>
            </w:tcBorders>
            <w:noWrap/>
            <w:tcMar>
              <w:top w:w="0" w:type="dxa"/>
              <w:left w:w="0" w:type="dxa"/>
              <w:bottom w:w="0" w:type="dxa"/>
              <w:right w:w="0" w:type="dxa"/>
            </w:tcMar>
            <w:vAlign w:val="bottom"/>
            <w:hideMark/>
          </w:tcPr>
          <w:p w14:paraId="66D60555" w14:textId="77777777" w:rsidR="0080449C" w:rsidRDefault="0080449C" w:rsidP="0080449C">
            <w:pPr>
              <w:rPr>
                <w:rFonts w:ascii="Arial" w:hAnsi="Arial" w:cs="Arial"/>
                <w:sz w:val="16"/>
                <w:szCs w:val="16"/>
              </w:rPr>
            </w:pPr>
            <w:r>
              <w:rPr>
                <w:rFonts w:ascii="Arial" w:hAnsi="Arial" w:cs="Arial"/>
                <w:sz w:val="16"/>
                <w:szCs w:val="16"/>
              </w:rPr>
              <w:t>2022 PSA</w:t>
            </w:r>
          </w:p>
        </w:tc>
        <w:tc>
          <w:tcPr>
            <w:tcW w:w="921" w:type="dxa"/>
            <w:tcBorders>
              <w:bottom w:val="single" w:sz="6" w:space="0" w:color="595959"/>
            </w:tcBorders>
            <w:noWrap/>
            <w:tcMar>
              <w:top w:w="0" w:type="dxa"/>
              <w:left w:w="0" w:type="dxa"/>
              <w:bottom w:w="0" w:type="dxa"/>
              <w:right w:w="0" w:type="dxa"/>
            </w:tcMar>
            <w:vAlign w:val="bottom"/>
            <w:hideMark/>
          </w:tcPr>
          <w:p w14:paraId="3B977295"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hideMark/>
          </w:tcPr>
          <w:p w14:paraId="3C139CC4" w14:textId="7DD25D06"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595959"/>
            </w:tcBorders>
            <w:noWrap/>
            <w:tcMar>
              <w:top w:w="0" w:type="dxa"/>
              <w:left w:w="0" w:type="dxa"/>
              <w:bottom w:w="0" w:type="dxa"/>
              <w:right w:w="0" w:type="dxa"/>
            </w:tcMar>
            <w:hideMark/>
          </w:tcPr>
          <w:p w14:paraId="5771CE7D" w14:textId="217788CB"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595959"/>
            </w:tcBorders>
            <w:noWrap/>
            <w:tcMar>
              <w:top w:w="0" w:type="dxa"/>
              <w:left w:w="0" w:type="dxa"/>
              <w:bottom w:w="0" w:type="dxa"/>
              <w:right w:w="0" w:type="dxa"/>
            </w:tcMar>
            <w:hideMark/>
          </w:tcPr>
          <w:p w14:paraId="440B6F98" w14:textId="64E8CD68"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vAlign w:val="bottom"/>
            <w:hideMark/>
          </w:tcPr>
          <w:p w14:paraId="05C5006D" w14:textId="77777777" w:rsidR="0080449C" w:rsidRPr="00306F7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261</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71ADFFC8" w14:textId="77777777" w:rsidR="0080449C" w:rsidRDefault="0080449C" w:rsidP="0080449C">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6,957</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3B3A7F9C" w14:textId="77777777" w:rsidR="0080449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20,871</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hideMark/>
          </w:tcPr>
          <w:p w14:paraId="4E3E6980" w14:textId="43CFAE82"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90" w:type="dxa"/>
            <w:tcBorders>
              <w:bottom w:val="single" w:sz="6" w:space="0" w:color="595959"/>
            </w:tcBorders>
            <w:noWrap/>
            <w:tcMar>
              <w:top w:w="0" w:type="dxa"/>
              <w:left w:w="0" w:type="dxa"/>
              <w:bottom w:w="0" w:type="dxa"/>
              <w:right w:w="0" w:type="dxa"/>
            </w:tcMar>
            <w:vAlign w:val="bottom"/>
            <w:hideMark/>
          </w:tcPr>
          <w:p w14:paraId="4B622792" w14:textId="77777777" w:rsidR="0080449C" w:rsidRPr="00306F7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1,947,171</w:t>
            </w:r>
            <w:r>
              <w:rPr>
                <w:rFonts w:ascii="Arial" w:hAnsi="Arial" w:cs="Arial"/>
                <w:sz w:val="16"/>
                <w:szCs w:val="16"/>
              </w:rPr>
              <w:tab/>
            </w:r>
          </w:p>
        </w:tc>
      </w:tr>
      <w:tr w:rsidR="0080449C" w14:paraId="7358A381" w14:textId="77777777" w:rsidTr="00DC0999">
        <w:tc>
          <w:tcPr>
            <w:tcW w:w="1575" w:type="dxa"/>
            <w:vMerge/>
            <w:tcMar>
              <w:top w:w="0" w:type="dxa"/>
              <w:left w:w="144" w:type="dxa"/>
              <w:bottom w:w="0" w:type="dxa"/>
              <w:right w:w="0" w:type="dxa"/>
            </w:tcMar>
            <w:hideMark/>
          </w:tcPr>
          <w:p w14:paraId="1B48F096" w14:textId="0DC5250B" w:rsidR="0080449C" w:rsidRDefault="0080449C" w:rsidP="0080449C">
            <w:pPr>
              <w:pStyle w:val="NormalWeb"/>
              <w:spacing w:before="0" w:beforeAutospacing="0" w:after="0" w:afterAutospacing="0"/>
              <w:rPr>
                <w:rFonts w:ascii="Arial" w:hAnsi="Arial" w:cs="Arial"/>
                <w:sz w:val="4"/>
                <w:szCs w:val="4"/>
              </w:rPr>
            </w:pPr>
          </w:p>
        </w:tc>
        <w:tc>
          <w:tcPr>
            <w:tcW w:w="1512" w:type="dxa"/>
            <w:tcBorders>
              <w:bottom w:val="single" w:sz="6" w:space="0" w:color="595959"/>
            </w:tcBorders>
            <w:noWrap/>
            <w:tcMar>
              <w:top w:w="0" w:type="dxa"/>
              <w:left w:w="0" w:type="dxa"/>
              <w:bottom w:w="0" w:type="dxa"/>
              <w:right w:w="0" w:type="dxa"/>
            </w:tcMar>
            <w:vAlign w:val="bottom"/>
            <w:hideMark/>
          </w:tcPr>
          <w:p w14:paraId="584263BC" w14:textId="77777777" w:rsidR="0080449C" w:rsidRDefault="0080449C" w:rsidP="0080449C">
            <w:pPr>
              <w:rPr>
                <w:rFonts w:ascii="Arial" w:hAnsi="Arial" w:cs="Arial"/>
                <w:sz w:val="16"/>
                <w:szCs w:val="16"/>
              </w:rPr>
            </w:pPr>
            <w:r>
              <w:rPr>
                <w:rFonts w:ascii="Arial" w:hAnsi="Arial" w:cs="Arial"/>
                <w:sz w:val="16"/>
                <w:szCs w:val="16"/>
              </w:rPr>
              <w:t>2021 PSA</w:t>
            </w:r>
          </w:p>
        </w:tc>
        <w:tc>
          <w:tcPr>
            <w:tcW w:w="921" w:type="dxa"/>
            <w:tcBorders>
              <w:bottom w:val="single" w:sz="6" w:space="0" w:color="595959"/>
            </w:tcBorders>
            <w:noWrap/>
            <w:tcMar>
              <w:top w:w="0" w:type="dxa"/>
              <w:left w:w="0" w:type="dxa"/>
              <w:bottom w:w="0" w:type="dxa"/>
              <w:right w:w="0" w:type="dxa"/>
            </w:tcMar>
            <w:vAlign w:val="bottom"/>
            <w:hideMark/>
          </w:tcPr>
          <w:p w14:paraId="05F91AD0"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hideMark/>
          </w:tcPr>
          <w:p w14:paraId="4086462D" w14:textId="0A4797C8"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595959"/>
            </w:tcBorders>
            <w:noWrap/>
            <w:tcMar>
              <w:top w:w="0" w:type="dxa"/>
              <w:left w:w="0" w:type="dxa"/>
              <w:bottom w:w="0" w:type="dxa"/>
              <w:right w:w="0" w:type="dxa"/>
            </w:tcMar>
            <w:hideMark/>
          </w:tcPr>
          <w:p w14:paraId="7A3EF10E" w14:textId="01C7AA38"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595959"/>
            </w:tcBorders>
            <w:noWrap/>
            <w:tcMar>
              <w:top w:w="0" w:type="dxa"/>
              <w:left w:w="0" w:type="dxa"/>
              <w:bottom w:w="0" w:type="dxa"/>
              <w:right w:w="0" w:type="dxa"/>
            </w:tcMar>
            <w:hideMark/>
          </w:tcPr>
          <w:p w14:paraId="5BB29594" w14:textId="521CFCDA"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vAlign w:val="bottom"/>
            <w:hideMark/>
          </w:tcPr>
          <w:p w14:paraId="6D213364" w14:textId="77777777" w:rsidR="0080449C" w:rsidRPr="00306F7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249</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2DBD815C" w14:textId="77777777" w:rsidR="0080449C" w:rsidRDefault="0080449C" w:rsidP="0080449C">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6,651</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5A186DFA" w14:textId="77777777" w:rsidR="0080449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19,953</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hideMark/>
          </w:tcPr>
          <w:p w14:paraId="763FFB90" w14:textId="11668F57"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90" w:type="dxa"/>
            <w:tcBorders>
              <w:bottom w:val="single" w:sz="6" w:space="0" w:color="595959"/>
            </w:tcBorders>
            <w:noWrap/>
            <w:tcMar>
              <w:top w:w="0" w:type="dxa"/>
              <w:left w:w="0" w:type="dxa"/>
              <w:bottom w:w="0" w:type="dxa"/>
              <w:right w:w="0" w:type="dxa"/>
            </w:tcMar>
            <w:vAlign w:val="bottom"/>
            <w:hideMark/>
          </w:tcPr>
          <w:p w14:paraId="0FA2CB29" w14:textId="77777777" w:rsidR="0080449C" w:rsidRPr="00306F7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1,719,417</w:t>
            </w:r>
            <w:r>
              <w:rPr>
                <w:rFonts w:ascii="Arial" w:hAnsi="Arial" w:cs="Arial"/>
                <w:sz w:val="16"/>
                <w:szCs w:val="16"/>
              </w:rPr>
              <w:tab/>
            </w:r>
          </w:p>
        </w:tc>
      </w:tr>
      <w:tr w:rsidR="0080449C" w14:paraId="19DC76B1" w14:textId="77777777" w:rsidTr="00440688">
        <w:tc>
          <w:tcPr>
            <w:tcW w:w="1575" w:type="dxa"/>
            <w:vMerge/>
            <w:tcBorders>
              <w:bottom w:val="single" w:sz="6" w:space="0" w:color="0075C9"/>
            </w:tcBorders>
            <w:tcMar>
              <w:top w:w="0" w:type="dxa"/>
              <w:left w:w="0" w:type="dxa"/>
              <w:bottom w:w="40" w:type="dxa"/>
              <w:right w:w="0" w:type="dxa"/>
            </w:tcMar>
            <w:hideMark/>
          </w:tcPr>
          <w:p w14:paraId="07E84D8B" w14:textId="77777777" w:rsidR="0080449C" w:rsidRDefault="0080449C" w:rsidP="0080449C">
            <w:pPr>
              <w:rPr>
                <w:rFonts w:ascii="Arial" w:hAnsi="Arial" w:cs="Arial"/>
                <w:sz w:val="2"/>
                <w:szCs w:val="2"/>
              </w:rPr>
            </w:pPr>
          </w:p>
        </w:tc>
        <w:tc>
          <w:tcPr>
            <w:tcW w:w="1512" w:type="dxa"/>
            <w:tcBorders>
              <w:bottom w:val="single" w:sz="6" w:space="0" w:color="0075C9"/>
            </w:tcBorders>
            <w:noWrap/>
            <w:tcMar>
              <w:top w:w="0" w:type="dxa"/>
              <w:left w:w="0" w:type="dxa"/>
              <w:bottom w:w="0" w:type="dxa"/>
              <w:right w:w="0" w:type="dxa"/>
            </w:tcMar>
            <w:vAlign w:val="bottom"/>
            <w:hideMark/>
          </w:tcPr>
          <w:p w14:paraId="75F380BE" w14:textId="77777777" w:rsidR="0080449C" w:rsidRDefault="0080449C" w:rsidP="0080449C">
            <w:pPr>
              <w:rPr>
                <w:rFonts w:ascii="Arial" w:hAnsi="Arial" w:cs="Arial"/>
                <w:sz w:val="16"/>
                <w:szCs w:val="16"/>
              </w:rPr>
            </w:pPr>
            <w:r>
              <w:rPr>
                <w:rFonts w:ascii="Arial" w:hAnsi="Arial" w:cs="Arial"/>
                <w:sz w:val="16"/>
                <w:szCs w:val="16"/>
              </w:rPr>
              <w:t>2023 Stock Award</w:t>
            </w:r>
          </w:p>
        </w:tc>
        <w:tc>
          <w:tcPr>
            <w:tcW w:w="921" w:type="dxa"/>
            <w:tcBorders>
              <w:bottom w:val="single" w:sz="6" w:space="0" w:color="0075C9"/>
            </w:tcBorders>
            <w:noWrap/>
            <w:tcMar>
              <w:top w:w="0" w:type="dxa"/>
              <w:left w:w="0" w:type="dxa"/>
              <w:bottom w:w="0" w:type="dxa"/>
              <w:right w:w="0" w:type="dxa"/>
            </w:tcMar>
            <w:vAlign w:val="bottom"/>
            <w:hideMark/>
          </w:tcPr>
          <w:p w14:paraId="199F0285"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0075C9"/>
            </w:tcBorders>
            <w:noWrap/>
            <w:tcMar>
              <w:top w:w="0" w:type="dxa"/>
              <w:left w:w="0" w:type="dxa"/>
              <w:bottom w:w="0" w:type="dxa"/>
              <w:right w:w="0" w:type="dxa"/>
            </w:tcMar>
            <w:hideMark/>
          </w:tcPr>
          <w:p w14:paraId="043067C9" w14:textId="77969D02"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0075C9"/>
            </w:tcBorders>
            <w:noWrap/>
            <w:tcMar>
              <w:top w:w="0" w:type="dxa"/>
              <w:left w:w="0" w:type="dxa"/>
              <w:bottom w:w="0" w:type="dxa"/>
              <w:right w:w="0" w:type="dxa"/>
            </w:tcMar>
            <w:hideMark/>
          </w:tcPr>
          <w:p w14:paraId="500A37BA" w14:textId="63D9CAFB"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0075C9"/>
            </w:tcBorders>
            <w:noWrap/>
            <w:tcMar>
              <w:top w:w="0" w:type="dxa"/>
              <w:left w:w="0" w:type="dxa"/>
              <w:bottom w:w="0" w:type="dxa"/>
              <w:right w:w="0" w:type="dxa"/>
            </w:tcMar>
            <w:hideMark/>
          </w:tcPr>
          <w:p w14:paraId="3308ACC5" w14:textId="3D1D0A84"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0075C9"/>
            </w:tcBorders>
            <w:noWrap/>
            <w:tcMar>
              <w:top w:w="0" w:type="dxa"/>
              <w:left w:w="0" w:type="dxa"/>
              <w:bottom w:w="0" w:type="dxa"/>
              <w:right w:w="0" w:type="dxa"/>
            </w:tcMar>
            <w:hideMark/>
          </w:tcPr>
          <w:p w14:paraId="6ED8BF01" w14:textId="40E82102"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714" w:type="dxa"/>
            <w:tcBorders>
              <w:bottom w:val="single" w:sz="6" w:space="0" w:color="0075C9"/>
            </w:tcBorders>
            <w:noWrap/>
            <w:tcMar>
              <w:top w:w="0" w:type="dxa"/>
              <w:left w:w="0" w:type="dxa"/>
              <w:bottom w:w="0" w:type="dxa"/>
              <w:right w:w="0" w:type="dxa"/>
            </w:tcMar>
            <w:hideMark/>
          </w:tcPr>
          <w:p w14:paraId="0C248779" w14:textId="24471867"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0075C9"/>
            </w:tcBorders>
            <w:noWrap/>
            <w:tcMar>
              <w:top w:w="0" w:type="dxa"/>
              <w:left w:w="0" w:type="dxa"/>
              <w:bottom w:w="0" w:type="dxa"/>
              <w:right w:w="0" w:type="dxa"/>
            </w:tcMar>
            <w:hideMark/>
          </w:tcPr>
          <w:p w14:paraId="706DD50B" w14:textId="567FF69E"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679" w:type="dxa"/>
            <w:tcBorders>
              <w:bottom w:val="single" w:sz="6" w:space="0" w:color="0075C9"/>
            </w:tcBorders>
            <w:noWrap/>
            <w:tcMar>
              <w:top w:w="0" w:type="dxa"/>
              <w:left w:w="0" w:type="dxa"/>
              <w:bottom w:w="0" w:type="dxa"/>
              <w:right w:w="0" w:type="dxa"/>
            </w:tcMar>
            <w:vAlign w:val="bottom"/>
            <w:hideMark/>
          </w:tcPr>
          <w:p w14:paraId="4092E7A7" w14:textId="77777777" w:rsidR="0080449C" w:rsidRPr="00306F7C" w:rsidRDefault="0080449C" w:rsidP="0080449C">
            <w:pPr>
              <w:pStyle w:val="NormalWeb"/>
              <w:tabs>
                <w:tab w:val="right" w:pos="600"/>
                <w:tab w:val="decimal" w:pos="640"/>
              </w:tabs>
              <w:spacing w:before="0" w:beforeAutospacing="0" w:after="20" w:afterAutospacing="0"/>
              <w:rPr>
                <w:rFonts w:ascii="Arial" w:hAnsi="Arial" w:cs="Arial"/>
                <w:sz w:val="16"/>
                <w:szCs w:val="16"/>
              </w:rPr>
            </w:pPr>
            <w:r>
              <w:rPr>
                <w:rFonts w:ascii="Arial" w:hAnsi="Arial" w:cs="Arial"/>
                <w:sz w:val="16"/>
                <w:szCs w:val="16"/>
              </w:rPr>
              <w:tab/>
              <w:t>27,996</w:t>
            </w:r>
            <w:r>
              <w:rPr>
                <w:rFonts w:ascii="Arial" w:hAnsi="Arial" w:cs="Arial"/>
                <w:sz w:val="16"/>
                <w:szCs w:val="16"/>
              </w:rPr>
              <w:tab/>
            </w:r>
          </w:p>
        </w:tc>
        <w:tc>
          <w:tcPr>
            <w:tcW w:w="990" w:type="dxa"/>
            <w:tcBorders>
              <w:bottom w:val="single" w:sz="6" w:space="0" w:color="0075C9"/>
            </w:tcBorders>
            <w:noWrap/>
            <w:tcMar>
              <w:top w:w="0" w:type="dxa"/>
              <w:left w:w="0" w:type="dxa"/>
              <w:bottom w:w="0" w:type="dxa"/>
              <w:right w:w="0" w:type="dxa"/>
            </w:tcMar>
            <w:vAlign w:val="bottom"/>
            <w:hideMark/>
          </w:tcPr>
          <w:p w14:paraId="5ECDD7CB" w14:textId="77777777" w:rsidR="0080449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6,679,398</w:t>
            </w:r>
            <w:r>
              <w:rPr>
                <w:rFonts w:ascii="Arial" w:hAnsi="Arial" w:cs="Arial"/>
                <w:sz w:val="16"/>
                <w:szCs w:val="16"/>
              </w:rPr>
              <w:tab/>
            </w:r>
          </w:p>
        </w:tc>
      </w:tr>
      <w:tr w:rsidR="0080449C" w14:paraId="2256DD89" w14:textId="77777777" w:rsidTr="00FE6258">
        <w:tc>
          <w:tcPr>
            <w:tcW w:w="1575" w:type="dxa"/>
            <w:vMerge w:val="restart"/>
            <w:tcMar>
              <w:top w:w="0" w:type="dxa"/>
              <w:left w:w="0" w:type="dxa"/>
              <w:bottom w:w="40" w:type="dxa"/>
              <w:right w:w="0" w:type="dxa"/>
            </w:tcMar>
            <w:hideMark/>
          </w:tcPr>
          <w:p w14:paraId="1924531E" w14:textId="77777777" w:rsidR="0080449C" w:rsidRPr="00306F7C" w:rsidRDefault="0080449C" w:rsidP="0080449C">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Bradford L. Smith</w:t>
            </w:r>
          </w:p>
          <w:p w14:paraId="2195527C" w14:textId="77777777" w:rsidR="0080449C" w:rsidRPr="00306F7C" w:rsidRDefault="0080449C" w:rsidP="0080449C">
            <w:pPr>
              <w:pStyle w:val="la2"/>
              <w:rPr>
                <w:rFonts w:ascii="Arial" w:hAnsi="Arial" w:cs="Arial"/>
                <w:sz w:val="16"/>
                <w:szCs w:val="16"/>
              </w:rPr>
            </w:pPr>
            <w:r>
              <w:rPr>
                <w:rFonts w:ascii="Arial" w:hAnsi="Arial" w:cs="Arial"/>
                <w:sz w:val="16"/>
                <w:szCs w:val="16"/>
              </w:rPr>
              <w:t> </w:t>
            </w:r>
          </w:p>
          <w:p w14:paraId="788A1571" w14:textId="77777777" w:rsidR="0080449C" w:rsidRDefault="0080449C" w:rsidP="0080449C">
            <w:pPr>
              <w:pStyle w:val="NormalWeb"/>
              <w:spacing w:before="0" w:beforeAutospacing="0" w:after="0" w:afterAutospacing="0"/>
              <w:rPr>
                <w:rFonts w:ascii="Arial" w:hAnsi="Arial" w:cs="Arial"/>
                <w:sz w:val="4"/>
                <w:szCs w:val="4"/>
              </w:rPr>
            </w:pPr>
            <w:r>
              <w:rPr>
                <w:rFonts w:ascii="Arial" w:hAnsi="Arial" w:cs="Arial"/>
                <w:sz w:val="4"/>
                <w:szCs w:val="4"/>
              </w:rPr>
              <w:t> </w:t>
            </w:r>
          </w:p>
          <w:p w14:paraId="64658B4E" w14:textId="77777777" w:rsidR="0080449C" w:rsidRPr="00306F7C" w:rsidRDefault="0080449C" w:rsidP="0080449C">
            <w:pPr>
              <w:pStyle w:val="la2"/>
              <w:rPr>
                <w:rFonts w:ascii="Arial" w:hAnsi="Arial" w:cs="Arial"/>
                <w:sz w:val="16"/>
                <w:szCs w:val="16"/>
              </w:rPr>
            </w:pPr>
            <w:r>
              <w:rPr>
                <w:rFonts w:ascii="Arial" w:hAnsi="Arial" w:cs="Arial"/>
                <w:sz w:val="16"/>
                <w:szCs w:val="16"/>
              </w:rPr>
              <w:t> </w:t>
            </w:r>
          </w:p>
          <w:p w14:paraId="269E27E6" w14:textId="77777777" w:rsidR="0080449C" w:rsidRDefault="0080449C" w:rsidP="0080449C">
            <w:pPr>
              <w:pStyle w:val="NormalWeb"/>
              <w:spacing w:before="0" w:beforeAutospacing="0" w:after="0" w:afterAutospacing="0"/>
              <w:rPr>
                <w:rFonts w:ascii="Arial" w:hAnsi="Arial" w:cs="Arial"/>
                <w:sz w:val="4"/>
                <w:szCs w:val="4"/>
              </w:rPr>
            </w:pPr>
            <w:r>
              <w:rPr>
                <w:rFonts w:ascii="Arial" w:hAnsi="Arial" w:cs="Arial"/>
                <w:sz w:val="4"/>
                <w:szCs w:val="4"/>
              </w:rPr>
              <w:t> </w:t>
            </w:r>
          </w:p>
          <w:p w14:paraId="1C6D6000" w14:textId="77777777" w:rsidR="0080449C" w:rsidRPr="00306F7C" w:rsidRDefault="0080449C" w:rsidP="0080449C">
            <w:pPr>
              <w:pStyle w:val="la2"/>
              <w:rPr>
                <w:rFonts w:ascii="Arial" w:hAnsi="Arial" w:cs="Arial"/>
                <w:sz w:val="16"/>
                <w:szCs w:val="16"/>
              </w:rPr>
            </w:pPr>
            <w:r>
              <w:rPr>
                <w:rFonts w:ascii="Arial" w:hAnsi="Arial" w:cs="Arial"/>
                <w:sz w:val="16"/>
                <w:szCs w:val="16"/>
              </w:rPr>
              <w:t> </w:t>
            </w:r>
          </w:p>
          <w:p w14:paraId="44C393A0" w14:textId="2B089161" w:rsidR="0080449C" w:rsidRPr="00306F7C" w:rsidRDefault="0080449C" w:rsidP="0080449C">
            <w:pPr>
              <w:pStyle w:val="NormalWeb"/>
              <w:spacing w:before="0" w:after="0"/>
              <w:rPr>
                <w:rFonts w:ascii="Arial" w:hAnsi="Arial" w:cs="Arial"/>
                <w:sz w:val="16"/>
                <w:szCs w:val="16"/>
              </w:rPr>
            </w:pPr>
            <w:r>
              <w:rPr>
                <w:rFonts w:ascii="Arial" w:hAnsi="Arial" w:cs="Arial"/>
                <w:sz w:val="4"/>
                <w:szCs w:val="4"/>
              </w:rPr>
              <w:t> </w:t>
            </w:r>
          </w:p>
        </w:tc>
        <w:tc>
          <w:tcPr>
            <w:tcW w:w="1512" w:type="dxa"/>
            <w:tcBorders>
              <w:bottom w:val="single" w:sz="6" w:space="0" w:color="595959"/>
            </w:tcBorders>
            <w:noWrap/>
            <w:tcMar>
              <w:top w:w="0" w:type="dxa"/>
              <w:left w:w="0" w:type="dxa"/>
              <w:bottom w:w="0" w:type="dxa"/>
              <w:right w:w="0" w:type="dxa"/>
            </w:tcMar>
            <w:vAlign w:val="bottom"/>
            <w:hideMark/>
          </w:tcPr>
          <w:p w14:paraId="1E0346F4" w14:textId="77777777" w:rsidR="0080449C" w:rsidRDefault="0080449C" w:rsidP="0080449C">
            <w:pPr>
              <w:rPr>
                <w:rFonts w:ascii="Arial" w:hAnsi="Arial" w:cs="Arial"/>
                <w:sz w:val="16"/>
                <w:szCs w:val="16"/>
              </w:rPr>
            </w:pPr>
            <w:r>
              <w:rPr>
                <w:rFonts w:ascii="Arial" w:hAnsi="Arial" w:cs="Arial"/>
                <w:sz w:val="16"/>
                <w:szCs w:val="16"/>
              </w:rPr>
              <w:t>2023 Cash Incentive</w:t>
            </w:r>
          </w:p>
        </w:tc>
        <w:tc>
          <w:tcPr>
            <w:tcW w:w="921" w:type="dxa"/>
            <w:tcBorders>
              <w:bottom w:val="single" w:sz="6" w:space="0" w:color="595959"/>
            </w:tcBorders>
            <w:noWrap/>
            <w:tcMar>
              <w:top w:w="0" w:type="dxa"/>
              <w:left w:w="0" w:type="dxa"/>
              <w:bottom w:w="0" w:type="dxa"/>
              <w:right w:w="0" w:type="dxa"/>
            </w:tcMar>
            <w:vAlign w:val="bottom"/>
            <w:hideMark/>
          </w:tcPr>
          <w:p w14:paraId="7EC5D2B5" w14:textId="1118D30F"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69" w:type="dxa"/>
            <w:tcBorders>
              <w:bottom w:val="single" w:sz="6" w:space="0" w:color="595959"/>
            </w:tcBorders>
            <w:noWrap/>
            <w:tcMar>
              <w:top w:w="0" w:type="dxa"/>
              <w:left w:w="0" w:type="dxa"/>
              <w:bottom w:w="0" w:type="dxa"/>
              <w:right w:w="0" w:type="dxa"/>
            </w:tcMar>
            <w:vAlign w:val="bottom"/>
            <w:hideMark/>
          </w:tcPr>
          <w:p w14:paraId="06316251" w14:textId="77777777" w:rsidR="0080449C" w:rsidRPr="00306F7C" w:rsidRDefault="0080449C" w:rsidP="0080449C">
            <w:pPr>
              <w:pStyle w:val="NormalWeb"/>
              <w:tabs>
                <w:tab w:val="right" w:pos="820"/>
                <w:tab w:val="decimal" w:pos="860"/>
              </w:tabs>
              <w:spacing w:before="0" w:beforeAutospacing="0" w:after="20" w:afterAutospacing="0"/>
              <w:rPr>
                <w:rFonts w:ascii="Arial" w:hAnsi="Arial" w:cs="Arial"/>
                <w:sz w:val="16"/>
                <w:szCs w:val="16"/>
              </w:rPr>
            </w:pPr>
            <w:r>
              <w:rPr>
                <w:rFonts w:ascii="Arial" w:hAnsi="Arial" w:cs="Arial"/>
                <w:sz w:val="16"/>
                <w:szCs w:val="16"/>
              </w:rPr>
              <w:tab/>
              <w:t>0</w:t>
            </w:r>
            <w:r>
              <w:rPr>
                <w:rFonts w:ascii="Arial" w:hAnsi="Arial" w:cs="Arial"/>
                <w:sz w:val="16"/>
                <w:szCs w:val="16"/>
              </w:rPr>
              <w:tab/>
            </w:r>
          </w:p>
        </w:tc>
        <w:tc>
          <w:tcPr>
            <w:tcW w:w="904" w:type="dxa"/>
            <w:tcBorders>
              <w:bottom w:val="single" w:sz="6" w:space="0" w:color="595959"/>
            </w:tcBorders>
            <w:noWrap/>
            <w:tcMar>
              <w:top w:w="0" w:type="dxa"/>
              <w:left w:w="0" w:type="dxa"/>
              <w:bottom w:w="0" w:type="dxa"/>
              <w:right w:w="0" w:type="dxa"/>
            </w:tcMar>
            <w:vAlign w:val="bottom"/>
            <w:hideMark/>
          </w:tcPr>
          <w:p w14:paraId="2F957AF1" w14:textId="77777777" w:rsidR="0080449C" w:rsidRDefault="0080449C" w:rsidP="0080449C">
            <w:pPr>
              <w:pStyle w:val="NormalWeb"/>
              <w:tabs>
                <w:tab w:val="right" w:pos="860"/>
                <w:tab w:val="decimal" w:pos="900"/>
              </w:tabs>
              <w:spacing w:before="0" w:beforeAutospacing="0" w:after="20" w:afterAutospacing="0"/>
              <w:rPr>
                <w:rFonts w:ascii="Arial" w:hAnsi="Arial" w:cs="Arial"/>
                <w:sz w:val="16"/>
                <w:szCs w:val="16"/>
              </w:rPr>
            </w:pPr>
            <w:r>
              <w:rPr>
                <w:rFonts w:ascii="Arial" w:hAnsi="Arial" w:cs="Arial"/>
                <w:sz w:val="16"/>
                <w:szCs w:val="16"/>
              </w:rPr>
              <w:tab/>
              <w:t>2,500,000</w:t>
            </w:r>
            <w:r>
              <w:rPr>
                <w:rFonts w:ascii="Arial" w:hAnsi="Arial" w:cs="Arial"/>
                <w:sz w:val="16"/>
                <w:szCs w:val="16"/>
              </w:rPr>
              <w:tab/>
            </w:r>
          </w:p>
        </w:tc>
        <w:tc>
          <w:tcPr>
            <w:tcW w:w="886" w:type="dxa"/>
            <w:tcBorders>
              <w:bottom w:val="single" w:sz="6" w:space="0" w:color="595959"/>
            </w:tcBorders>
            <w:noWrap/>
            <w:tcMar>
              <w:top w:w="0" w:type="dxa"/>
              <w:left w:w="0" w:type="dxa"/>
              <w:bottom w:w="0" w:type="dxa"/>
              <w:right w:w="0" w:type="dxa"/>
            </w:tcMar>
            <w:vAlign w:val="bottom"/>
            <w:hideMark/>
          </w:tcPr>
          <w:p w14:paraId="149A4E43" w14:textId="77777777" w:rsidR="0080449C" w:rsidRDefault="0080449C" w:rsidP="0080449C">
            <w:pPr>
              <w:pStyle w:val="NormalWeb"/>
              <w:tabs>
                <w:tab w:val="right" w:pos="840"/>
                <w:tab w:val="decimal" w:pos="880"/>
              </w:tabs>
              <w:spacing w:before="0" w:beforeAutospacing="0" w:after="20" w:afterAutospacing="0"/>
              <w:rPr>
                <w:rFonts w:ascii="Arial" w:hAnsi="Arial" w:cs="Arial"/>
                <w:sz w:val="16"/>
                <w:szCs w:val="16"/>
              </w:rPr>
            </w:pPr>
            <w:r>
              <w:rPr>
                <w:rFonts w:ascii="Arial" w:hAnsi="Arial" w:cs="Arial"/>
                <w:sz w:val="16"/>
                <w:szCs w:val="16"/>
              </w:rPr>
              <w:tab/>
              <w:t>5,000,000</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hideMark/>
          </w:tcPr>
          <w:p w14:paraId="7EB92A97" w14:textId="2612A694"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714" w:type="dxa"/>
            <w:tcBorders>
              <w:bottom w:val="single" w:sz="6" w:space="0" w:color="595959"/>
            </w:tcBorders>
            <w:noWrap/>
            <w:tcMar>
              <w:top w:w="0" w:type="dxa"/>
              <w:left w:w="0" w:type="dxa"/>
              <w:bottom w:w="0" w:type="dxa"/>
              <w:right w:w="0" w:type="dxa"/>
            </w:tcMar>
            <w:hideMark/>
          </w:tcPr>
          <w:p w14:paraId="20A3E349" w14:textId="348D3D67"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hideMark/>
          </w:tcPr>
          <w:p w14:paraId="4A5327E2" w14:textId="297976C1"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679" w:type="dxa"/>
            <w:tcBorders>
              <w:bottom w:val="single" w:sz="6" w:space="0" w:color="595959"/>
            </w:tcBorders>
            <w:noWrap/>
            <w:tcMar>
              <w:top w:w="0" w:type="dxa"/>
              <w:left w:w="0" w:type="dxa"/>
              <w:bottom w:w="0" w:type="dxa"/>
              <w:right w:w="0" w:type="dxa"/>
            </w:tcMar>
            <w:hideMark/>
          </w:tcPr>
          <w:p w14:paraId="732DE410" w14:textId="33CD97E4"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90" w:type="dxa"/>
            <w:tcBorders>
              <w:bottom w:val="single" w:sz="6" w:space="0" w:color="595959"/>
            </w:tcBorders>
            <w:noWrap/>
            <w:tcMar>
              <w:top w:w="0" w:type="dxa"/>
              <w:left w:w="0" w:type="dxa"/>
              <w:bottom w:w="0" w:type="dxa"/>
              <w:right w:w="0" w:type="dxa"/>
            </w:tcMar>
            <w:hideMark/>
          </w:tcPr>
          <w:p w14:paraId="42932748" w14:textId="7148CE22"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r>
      <w:tr w:rsidR="0080449C" w14:paraId="1EA126AC" w14:textId="77777777" w:rsidTr="00DE60F0">
        <w:tc>
          <w:tcPr>
            <w:tcW w:w="1575" w:type="dxa"/>
            <w:vMerge/>
            <w:tcMar>
              <w:top w:w="0" w:type="dxa"/>
              <w:left w:w="144" w:type="dxa"/>
              <w:bottom w:w="0" w:type="dxa"/>
              <w:right w:w="0" w:type="dxa"/>
            </w:tcMar>
            <w:hideMark/>
          </w:tcPr>
          <w:p w14:paraId="32679B91" w14:textId="0E777DDD" w:rsidR="0080449C" w:rsidRDefault="0080449C" w:rsidP="0080449C">
            <w:pPr>
              <w:pStyle w:val="NormalWeb"/>
              <w:spacing w:before="0" w:after="0"/>
              <w:rPr>
                <w:rFonts w:ascii="Arial" w:hAnsi="Arial" w:cs="Arial"/>
                <w:sz w:val="4"/>
                <w:szCs w:val="4"/>
              </w:rPr>
            </w:pPr>
          </w:p>
        </w:tc>
        <w:tc>
          <w:tcPr>
            <w:tcW w:w="1512" w:type="dxa"/>
            <w:tcBorders>
              <w:bottom w:val="single" w:sz="6" w:space="0" w:color="595959"/>
            </w:tcBorders>
            <w:noWrap/>
            <w:tcMar>
              <w:top w:w="0" w:type="dxa"/>
              <w:left w:w="0" w:type="dxa"/>
              <w:bottom w:w="0" w:type="dxa"/>
              <w:right w:w="0" w:type="dxa"/>
            </w:tcMar>
            <w:vAlign w:val="bottom"/>
            <w:hideMark/>
          </w:tcPr>
          <w:p w14:paraId="4BC7DD25" w14:textId="77777777" w:rsidR="0080449C" w:rsidRDefault="0080449C" w:rsidP="0080449C">
            <w:pPr>
              <w:rPr>
                <w:rFonts w:ascii="Arial" w:hAnsi="Arial" w:cs="Arial"/>
                <w:sz w:val="16"/>
                <w:szCs w:val="16"/>
              </w:rPr>
            </w:pPr>
            <w:r>
              <w:rPr>
                <w:rFonts w:ascii="Arial" w:hAnsi="Arial" w:cs="Arial"/>
                <w:sz w:val="16"/>
                <w:szCs w:val="16"/>
              </w:rPr>
              <w:t>2023 PSA</w:t>
            </w:r>
          </w:p>
        </w:tc>
        <w:tc>
          <w:tcPr>
            <w:tcW w:w="921" w:type="dxa"/>
            <w:tcBorders>
              <w:bottom w:val="single" w:sz="6" w:space="0" w:color="595959"/>
            </w:tcBorders>
            <w:noWrap/>
            <w:tcMar>
              <w:top w:w="0" w:type="dxa"/>
              <w:left w:w="0" w:type="dxa"/>
              <w:bottom w:w="0" w:type="dxa"/>
              <w:right w:w="0" w:type="dxa"/>
            </w:tcMar>
            <w:vAlign w:val="bottom"/>
            <w:hideMark/>
          </w:tcPr>
          <w:p w14:paraId="4D7BBB9E"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hideMark/>
          </w:tcPr>
          <w:p w14:paraId="1ED97ACF" w14:textId="5AAD2F3C"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595959"/>
            </w:tcBorders>
            <w:noWrap/>
            <w:tcMar>
              <w:top w:w="0" w:type="dxa"/>
              <w:left w:w="0" w:type="dxa"/>
              <w:bottom w:w="0" w:type="dxa"/>
              <w:right w:w="0" w:type="dxa"/>
            </w:tcMar>
            <w:hideMark/>
          </w:tcPr>
          <w:p w14:paraId="18492BF2" w14:textId="1610838D"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595959"/>
            </w:tcBorders>
            <w:noWrap/>
            <w:tcMar>
              <w:top w:w="0" w:type="dxa"/>
              <w:left w:w="0" w:type="dxa"/>
              <w:bottom w:w="0" w:type="dxa"/>
              <w:right w:w="0" w:type="dxa"/>
            </w:tcMar>
            <w:hideMark/>
          </w:tcPr>
          <w:p w14:paraId="4A27A719" w14:textId="6E6DE3A0"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vAlign w:val="bottom"/>
            <w:hideMark/>
          </w:tcPr>
          <w:p w14:paraId="6E424F28" w14:textId="77777777" w:rsidR="0080449C" w:rsidRPr="00306F7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371</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00E3B303" w14:textId="77777777" w:rsidR="0080449C" w:rsidRDefault="0080449C" w:rsidP="0080449C">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9,880</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3A5728C5" w14:textId="77777777" w:rsidR="0080449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29,641</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hideMark/>
          </w:tcPr>
          <w:p w14:paraId="3CC3EDA0" w14:textId="1740DB80"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90" w:type="dxa"/>
            <w:tcBorders>
              <w:bottom w:val="single" w:sz="6" w:space="0" w:color="595959"/>
            </w:tcBorders>
            <w:noWrap/>
            <w:tcMar>
              <w:top w:w="0" w:type="dxa"/>
              <w:left w:w="0" w:type="dxa"/>
              <w:bottom w:w="0" w:type="dxa"/>
              <w:right w:w="0" w:type="dxa"/>
            </w:tcMar>
            <w:vAlign w:val="bottom"/>
            <w:hideMark/>
          </w:tcPr>
          <w:p w14:paraId="437FF32F" w14:textId="77777777" w:rsidR="0080449C" w:rsidRPr="00306F7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2,650,004</w:t>
            </w:r>
            <w:r>
              <w:rPr>
                <w:rFonts w:ascii="Arial" w:hAnsi="Arial" w:cs="Arial"/>
                <w:sz w:val="16"/>
                <w:szCs w:val="16"/>
              </w:rPr>
              <w:tab/>
            </w:r>
          </w:p>
        </w:tc>
      </w:tr>
      <w:tr w:rsidR="0080449C" w14:paraId="3B27A085" w14:textId="77777777" w:rsidTr="00DE60F0">
        <w:tc>
          <w:tcPr>
            <w:tcW w:w="1575" w:type="dxa"/>
            <w:vMerge/>
            <w:tcMar>
              <w:top w:w="0" w:type="dxa"/>
              <w:left w:w="144" w:type="dxa"/>
              <w:bottom w:w="0" w:type="dxa"/>
              <w:right w:w="0" w:type="dxa"/>
            </w:tcMar>
            <w:hideMark/>
          </w:tcPr>
          <w:p w14:paraId="04FEF807" w14:textId="699B74DA" w:rsidR="0080449C" w:rsidRDefault="0080449C" w:rsidP="0080449C">
            <w:pPr>
              <w:pStyle w:val="NormalWeb"/>
              <w:spacing w:before="0" w:after="0"/>
              <w:rPr>
                <w:rFonts w:ascii="Arial" w:hAnsi="Arial" w:cs="Arial"/>
                <w:sz w:val="4"/>
                <w:szCs w:val="4"/>
              </w:rPr>
            </w:pPr>
          </w:p>
        </w:tc>
        <w:tc>
          <w:tcPr>
            <w:tcW w:w="1512" w:type="dxa"/>
            <w:tcBorders>
              <w:bottom w:val="single" w:sz="6" w:space="0" w:color="595959"/>
            </w:tcBorders>
            <w:noWrap/>
            <w:tcMar>
              <w:top w:w="0" w:type="dxa"/>
              <w:left w:w="0" w:type="dxa"/>
              <w:bottom w:w="0" w:type="dxa"/>
              <w:right w:w="0" w:type="dxa"/>
            </w:tcMar>
            <w:vAlign w:val="bottom"/>
            <w:hideMark/>
          </w:tcPr>
          <w:p w14:paraId="447DE14F" w14:textId="77777777" w:rsidR="0080449C" w:rsidRDefault="0080449C" w:rsidP="0080449C">
            <w:pPr>
              <w:rPr>
                <w:rFonts w:ascii="Arial" w:hAnsi="Arial" w:cs="Arial"/>
                <w:sz w:val="16"/>
                <w:szCs w:val="16"/>
              </w:rPr>
            </w:pPr>
            <w:r>
              <w:rPr>
                <w:rFonts w:ascii="Arial" w:hAnsi="Arial" w:cs="Arial"/>
                <w:sz w:val="16"/>
                <w:szCs w:val="16"/>
              </w:rPr>
              <w:t>2022 PSA</w:t>
            </w:r>
          </w:p>
        </w:tc>
        <w:tc>
          <w:tcPr>
            <w:tcW w:w="921" w:type="dxa"/>
            <w:tcBorders>
              <w:bottom w:val="single" w:sz="6" w:space="0" w:color="595959"/>
            </w:tcBorders>
            <w:noWrap/>
            <w:tcMar>
              <w:top w:w="0" w:type="dxa"/>
              <w:left w:w="0" w:type="dxa"/>
              <w:bottom w:w="0" w:type="dxa"/>
              <w:right w:w="0" w:type="dxa"/>
            </w:tcMar>
            <w:vAlign w:val="bottom"/>
            <w:hideMark/>
          </w:tcPr>
          <w:p w14:paraId="2C397974"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hideMark/>
          </w:tcPr>
          <w:p w14:paraId="33F5243E" w14:textId="40F9F487"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595959"/>
            </w:tcBorders>
            <w:noWrap/>
            <w:tcMar>
              <w:top w:w="0" w:type="dxa"/>
              <w:left w:w="0" w:type="dxa"/>
              <w:bottom w:w="0" w:type="dxa"/>
              <w:right w:w="0" w:type="dxa"/>
            </w:tcMar>
            <w:hideMark/>
          </w:tcPr>
          <w:p w14:paraId="5E7C34D7" w14:textId="12937F7C"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595959"/>
            </w:tcBorders>
            <w:noWrap/>
            <w:tcMar>
              <w:top w:w="0" w:type="dxa"/>
              <w:left w:w="0" w:type="dxa"/>
              <w:bottom w:w="0" w:type="dxa"/>
              <w:right w:w="0" w:type="dxa"/>
            </w:tcMar>
            <w:hideMark/>
          </w:tcPr>
          <w:p w14:paraId="5E03FF89" w14:textId="08C25A41"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vAlign w:val="bottom"/>
            <w:hideMark/>
          </w:tcPr>
          <w:p w14:paraId="5A6F0608" w14:textId="77777777" w:rsidR="0080449C" w:rsidRPr="00306F7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321</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704743E2" w14:textId="77777777" w:rsidR="0080449C" w:rsidRDefault="0080449C" w:rsidP="0080449C">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8,558</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79043347" w14:textId="77777777" w:rsidR="0080449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25,674</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hideMark/>
          </w:tcPr>
          <w:p w14:paraId="31302680" w14:textId="2E3173D3"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90" w:type="dxa"/>
            <w:tcBorders>
              <w:bottom w:val="single" w:sz="6" w:space="0" w:color="595959"/>
            </w:tcBorders>
            <w:noWrap/>
            <w:tcMar>
              <w:top w:w="0" w:type="dxa"/>
              <w:left w:w="0" w:type="dxa"/>
              <w:bottom w:w="0" w:type="dxa"/>
              <w:right w:w="0" w:type="dxa"/>
            </w:tcMar>
            <w:vAlign w:val="bottom"/>
            <w:hideMark/>
          </w:tcPr>
          <w:p w14:paraId="1F41D225" w14:textId="77777777" w:rsidR="0080449C" w:rsidRPr="00306F7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2,395,291</w:t>
            </w:r>
            <w:r>
              <w:rPr>
                <w:rFonts w:ascii="Arial" w:hAnsi="Arial" w:cs="Arial"/>
                <w:sz w:val="16"/>
                <w:szCs w:val="16"/>
              </w:rPr>
              <w:tab/>
            </w:r>
          </w:p>
        </w:tc>
      </w:tr>
      <w:tr w:rsidR="0080449C" w14:paraId="538B9DD3" w14:textId="77777777" w:rsidTr="00DE60F0">
        <w:tc>
          <w:tcPr>
            <w:tcW w:w="1575" w:type="dxa"/>
            <w:vMerge/>
            <w:tcMar>
              <w:top w:w="0" w:type="dxa"/>
              <w:left w:w="144" w:type="dxa"/>
              <w:bottom w:w="0" w:type="dxa"/>
              <w:right w:w="0" w:type="dxa"/>
            </w:tcMar>
            <w:hideMark/>
          </w:tcPr>
          <w:p w14:paraId="01C37172" w14:textId="66F7CD1F" w:rsidR="0080449C" w:rsidRDefault="0080449C" w:rsidP="0080449C">
            <w:pPr>
              <w:pStyle w:val="NormalWeb"/>
              <w:spacing w:before="0" w:beforeAutospacing="0" w:after="0" w:afterAutospacing="0"/>
              <w:rPr>
                <w:rFonts w:ascii="Arial" w:hAnsi="Arial" w:cs="Arial"/>
                <w:sz w:val="4"/>
                <w:szCs w:val="4"/>
              </w:rPr>
            </w:pPr>
          </w:p>
        </w:tc>
        <w:tc>
          <w:tcPr>
            <w:tcW w:w="1512" w:type="dxa"/>
            <w:tcBorders>
              <w:bottom w:val="single" w:sz="6" w:space="0" w:color="595959"/>
            </w:tcBorders>
            <w:noWrap/>
            <w:tcMar>
              <w:top w:w="0" w:type="dxa"/>
              <w:left w:w="0" w:type="dxa"/>
              <w:bottom w:w="0" w:type="dxa"/>
              <w:right w:w="0" w:type="dxa"/>
            </w:tcMar>
            <w:vAlign w:val="bottom"/>
            <w:hideMark/>
          </w:tcPr>
          <w:p w14:paraId="41E3DC7C" w14:textId="77777777" w:rsidR="0080449C" w:rsidRDefault="0080449C" w:rsidP="0080449C">
            <w:pPr>
              <w:rPr>
                <w:rFonts w:ascii="Arial" w:hAnsi="Arial" w:cs="Arial"/>
                <w:sz w:val="16"/>
                <w:szCs w:val="16"/>
              </w:rPr>
            </w:pPr>
            <w:r>
              <w:rPr>
                <w:rFonts w:ascii="Arial" w:hAnsi="Arial" w:cs="Arial"/>
                <w:sz w:val="16"/>
                <w:szCs w:val="16"/>
              </w:rPr>
              <w:t>2021 PSA</w:t>
            </w:r>
          </w:p>
        </w:tc>
        <w:tc>
          <w:tcPr>
            <w:tcW w:w="921" w:type="dxa"/>
            <w:tcBorders>
              <w:bottom w:val="single" w:sz="6" w:space="0" w:color="595959"/>
            </w:tcBorders>
            <w:noWrap/>
            <w:tcMar>
              <w:top w:w="0" w:type="dxa"/>
              <w:left w:w="0" w:type="dxa"/>
              <w:bottom w:w="0" w:type="dxa"/>
              <w:right w:w="0" w:type="dxa"/>
            </w:tcMar>
            <w:vAlign w:val="bottom"/>
            <w:hideMark/>
          </w:tcPr>
          <w:p w14:paraId="5D8E521F"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hideMark/>
          </w:tcPr>
          <w:p w14:paraId="37F14E46" w14:textId="5026AFD1"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595959"/>
            </w:tcBorders>
            <w:noWrap/>
            <w:tcMar>
              <w:top w:w="0" w:type="dxa"/>
              <w:left w:w="0" w:type="dxa"/>
              <w:bottom w:w="0" w:type="dxa"/>
              <w:right w:w="0" w:type="dxa"/>
            </w:tcMar>
            <w:hideMark/>
          </w:tcPr>
          <w:p w14:paraId="3F549332" w14:textId="3F8E618F"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595959"/>
            </w:tcBorders>
            <w:noWrap/>
            <w:tcMar>
              <w:top w:w="0" w:type="dxa"/>
              <w:left w:w="0" w:type="dxa"/>
              <w:bottom w:w="0" w:type="dxa"/>
              <w:right w:w="0" w:type="dxa"/>
            </w:tcMar>
            <w:hideMark/>
          </w:tcPr>
          <w:p w14:paraId="2A9FAEBF" w14:textId="230D1D19"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vAlign w:val="bottom"/>
            <w:hideMark/>
          </w:tcPr>
          <w:p w14:paraId="4AFF9719" w14:textId="77777777" w:rsidR="0080449C" w:rsidRPr="00306F7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349</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4A547F63" w14:textId="77777777" w:rsidR="0080449C" w:rsidRDefault="0080449C" w:rsidP="0080449C">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9,312</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26A7C29F" w14:textId="77777777" w:rsidR="0080449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27,936</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hideMark/>
          </w:tcPr>
          <w:p w14:paraId="0CE21672" w14:textId="3A353394"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90" w:type="dxa"/>
            <w:tcBorders>
              <w:bottom w:val="single" w:sz="6" w:space="0" w:color="595959"/>
            </w:tcBorders>
            <w:noWrap/>
            <w:tcMar>
              <w:top w:w="0" w:type="dxa"/>
              <w:left w:w="0" w:type="dxa"/>
              <w:bottom w:w="0" w:type="dxa"/>
              <w:right w:w="0" w:type="dxa"/>
            </w:tcMar>
            <w:vAlign w:val="bottom"/>
            <w:hideMark/>
          </w:tcPr>
          <w:p w14:paraId="5883CE3B" w14:textId="77777777" w:rsidR="0080449C" w:rsidRPr="00306F7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2,407,252</w:t>
            </w:r>
            <w:r>
              <w:rPr>
                <w:rFonts w:ascii="Arial" w:hAnsi="Arial" w:cs="Arial"/>
                <w:sz w:val="16"/>
                <w:szCs w:val="16"/>
              </w:rPr>
              <w:tab/>
            </w:r>
          </w:p>
        </w:tc>
      </w:tr>
      <w:tr w:rsidR="0080449C" w14:paraId="14F28F2D" w14:textId="77777777" w:rsidTr="00477C8F">
        <w:tc>
          <w:tcPr>
            <w:tcW w:w="1575" w:type="dxa"/>
            <w:vMerge/>
            <w:tcBorders>
              <w:bottom w:val="single" w:sz="6" w:space="0" w:color="0075C9"/>
            </w:tcBorders>
            <w:tcMar>
              <w:top w:w="0" w:type="dxa"/>
              <w:left w:w="0" w:type="dxa"/>
              <w:bottom w:w="40" w:type="dxa"/>
              <w:right w:w="0" w:type="dxa"/>
            </w:tcMar>
            <w:hideMark/>
          </w:tcPr>
          <w:p w14:paraId="140BCEC8" w14:textId="77777777" w:rsidR="0080449C" w:rsidRDefault="0080449C" w:rsidP="0080449C">
            <w:pPr>
              <w:rPr>
                <w:rFonts w:ascii="Arial" w:hAnsi="Arial" w:cs="Arial"/>
                <w:sz w:val="2"/>
                <w:szCs w:val="2"/>
              </w:rPr>
            </w:pPr>
          </w:p>
        </w:tc>
        <w:tc>
          <w:tcPr>
            <w:tcW w:w="1512" w:type="dxa"/>
            <w:tcBorders>
              <w:bottom w:val="single" w:sz="6" w:space="0" w:color="0075C9"/>
            </w:tcBorders>
            <w:noWrap/>
            <w:tcMar>
              <w:top w:w="0" w:type="dxa"/>
              <w:left w:w="0" w:type="dxa"/>
              <w:bottom w:w="0" w:type="dxa"/>
              <w:right w:w="0" w:type="dxa"/>
            </w:tcMar>
            <w:vAlign w:val="bottom"/>
            <w:hideMark/>
          </w:tcPr>
          <w:p w14:paraId="240896F7" w14:textId="77777777" w:rsidR="0080449C" w:rsidRDefault="0080449C" w:rsidP="0080449C">
            <w:pPr>
              <w:rPr>
                <w:rFonts w:ascii="Arial" w:hAnsi="Arial" w:cs="Arial"/>
                <w:sz w:val="16"/>
                <w:szCs w:val="16"/>
              </w:rPr>
            </w:pPr>
            <w:r>
              <w:rPr>
                <w:rFonts w:ascii="Arial" w:hAnsi="Arial" w:cs="Arial"/>
                <w:sz w:val="16"/>
                <w:szCs w:val="16"/>
              </w:rPr>
              <w:t>2023 Stock Award</w:t>
            </w:r>
          </w:p>
        </w:tc>
        <w:tc>
          <w:tcPr>
            <w:tcW w:w="921" w:type="dxa"/>
            <w:tcBorders>
              <w:bottom w:val="single" w:sz="6" w:space="0" w:color="0075C9"/>
            </w:tcBorders>
            <w:noWrap/>
            <w:tcMar>
              <w:top w:w="0" w:type="dxa"/>
              <w:left w:w="0" w:type="dxa"/>
              <w:bottom w:w="0" w:type="dxa"/>
              <w:right w:w="0" w:type="dxa"/>
            </w:tcMar>
            <w:vAlign w:val="bottom"/>
            <w:hideMark/>
          </w:tcPr>
          <w:p w14:paraId="78944011"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0075C9"/>
            </w:tcBorders>
            <w:noWrap/>
            <w:tcMar>
              <w:top w:w="0" w:type="dxa"/>
              <w:left w:w="0" w:type="dxa"/>
              <w:bottom w:w="0" w:type="dxa"/>
              <w:right w:w="0" w:type="dxa"/>
            </w:tcMar>
            <w:hideMark/>
          </w:tcPr>
          <w:p w14:paraId="6A6AD12C" w14:textId="7733B76B"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0075C9"/>
            </w:tcBorders>
            <w:noWrap/>
            <w:tcMar>
              <w:top w:w="0" w:type="dxa"/>
              <w:left w:w="0" w:type="dxa"/>
              <w:bottom w:w="0" w:type="dxa"/>
              <w:right w:w="0" w:type="dxa"/>
            </w:tcMar>
            <w:hideMark/>
          </w:tcPr>
          <w:p w14:paraId="1EE76EB6" w14:textId="5441768D"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0075C9"/>
            </w:tcBorders>
            <w:noWrap/>
            <w:tcMar>
              <w:top w:w="0" w:type="dxa"/>
              <w:left w:w="0" w:type="dxa"/>
              <w:bottom w:w="0" w:type="dxa"/>
              <w:right w:w="0" w:type="dxa"/>
            </w:tcMar>
            <w:hideMark/>
          </w:tcPr>
          <w:p w14:paraId="2F8EFAE9" w14:textId="49220560"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0075C9"/>
            </w:tcBorders>
            <w:noWrap/>
            <w:tcMar>
              <w:top w:w="0" w:type="dxa"/>
              <w:left w:w="0" w:type="dxa"/>
              <w:bottom w:w="0" w:type="dxa"/>
              <w:right w:w="0" w:type="dxa"/>
            </w:tcMar>
            <w:hideMark/>
          </w:tcPr>
          <w:p w14:paraId="1B3C785D" w14:textId="49835762"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714" w:type="dxa"/>
            <w:tcBorders>
              <w:bottom w:val="single" w:sz="6" w:space="0" w:color="0075C9"/>
            </w:tcBorders>
            <w:noWrap/>
            <w:tcMar>
              <w:top w:w="0" w:type="dxa"/>
              <w:left w:w="0" w:type="dxa"/>
              <w:bottom w:w="0" w:type="dxa"/>
              <w:right w:w="0" w:type="dxa"/>
            </w:tcMar>
            <w:hideMark/>
          </w:tcPr>
          <w:p w14:paraId="79E258B4" w14:textId="4EBC3812"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0075C9"/>
            </w:tcBorders>
            <w:noWrap/>
            <w:tcMar>
              <w:top w:w="0" w:type="dxa"/>
              <w:left w:w="0" w:type="dxa"/>
              <w:bottom w:w="0" w:type="dxa"/>
              <w:right w:w="0" w:type="dxa"/>
            </w:tcMar>
            <w:hideMark/>
          </w:tcPr>
          <w:p w14:paraId="7B71F82F" w14:textId="25BFF2D7"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679" w:type="dxa"/>
            <w:tcBorders>
              <w:bottom w:val="single" w:sz="6" w:space="0" w:color="0075C9"/>
            </w:tcBorders>
            <w:noWrap/>
            <w:tcMar>
              <w:top w:w="0" w:type="dxa"/>
              <w:left w:w="0" w:type="dxa"/>
              <w:bottom w:w="0" w:type="dxa"/>
              <w:right w:w="0" w:type="dxa"/>
            </w:tcMar>
            <w:vAlign w:val="bottom"/>
            <w:hideMark/>
          </w:tcPr>
          <w:p w14:paraId="5E4B1A95" w14:textId="77777777" w:rsidR="0080449C" w:rsidRPr="00306F7C" w:rsidRDefault="0080449C" w:rsidP="0080449C">
            <w:pPr>
              <w:pStyle w:val="NormalWeb"/>
              <w:tabs>
                <w:tab w:val="right" w:pos="600"/>
                <w:tab w:val="decimal" w:pos="640"/>
              </w:tabs>
              <w:spacing w:before="0" w:beforeAutospacing="0" w:after="20" w:afterAutospacing="0"/>
              <w:rPr>
                <w:rFonts w:ascii="Arial" w:hAnsi="Arial" w:cs="Arial"/>
                <w:sz w:val="16"/>
                <w:szCs w:val="16"/>
              </w:rPr>
            </w:pPr>
            <w:r>
              <w:rPr>
                <w:rFonts w:ascii="Arial" w:hAnsi="Arial" w:cs="Arial"/>
                <w:sz w:val="16"/>
                <w:szCs w:val="16"/>
              </w:rPr>
              <w:tab/>
              <w:t>29,641</w:t>
            </w:r>
            <w:r>
              <w:rPr>
                <w:rFonts w:ascii="Arial" w:hAnsi="Arial" w:cs="Arial"/>
                <w:sz w:val="16"/>
                <w:szCs w:val="16"/>
              </w:rPr>
              <w:tab/>
            </w:r>
          </w:p>
        </w:tc>
        <w:tc>
          <w:tcPr>
            <w:tcW w:w="990" w:type="dxa"/>
            <w:tcBorders>
              <w:bottom w:val="single" w:sz="6" w:space="0" w:color="0075C9"/>
            </w:tcBorders>
            <w:noWrap/>
            <w:tcMar>
              <w:top w:w="0" w:type="dxa"/>
              <w:left w:w="0" w:type="dxa"/>
              <w:bottom w:w="0" w:type="dxa"/>
              <w:right w:w="0" w:type="dxa"/>
            </w:tcMar>
            <w:vAlign w:val="bottom"/>
            <w:hideMark/>
          </w:tcPr>
          <w:p w14:paraId="0247BB8C" w14:textId="77777777" w:rsidR="0080449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7,071,865</w:t>
            </w:r>
            <w:r>
              <w:rPr>
                <w:rFonts w:ascii="Arial" w:hAnsi="Arial" w:cs="Arial"/>
                <w:sz w:val="16"/>
                <w:szCs w:val="16"/>
              </w:rPr>
              <w:tab/>
            </w:r>
          </w:p>
        </w:tc>
      </w:tr>
      <w:tr w:rsidR="0080449C" w14:paraId="7815E5E5" w14:textId="77777777" w:rsidTr="00D51596">
        <w:tc>
          <w:tcPr>
            <w:tcW w:w="1575" w:type="dxa"/>
            <w:vMerge w:val="restart"/>
            <w:tcMar>
              <w:top w:w="0" w:type="dxa"/>
              <w:left w:w="0" w:type="dxa"/>
              <w:bottom w:w="40" w:type="dxa"/>
              <w:right w:w="0" w:type="dxa"/>
            </w:tcMar>
            <w:hideMark/>
          </w:tcPr>
          <w:p w14:paraId="1E2FD7F9" w14:textId="77777777" w:rsidR="0080449C" w:rsidRPr="00306F7C" w:rsidRDefault="0080449C" w:rsidP="0080449C">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Christopher D. Young</w:t>
            </w:r>
          </w:p>
          <w:p w14:paraId="2C7D3E2E" w14:textId="77777777" w:rsidR="0080449C" w:rsidRPr="00306F7C" w:rsidRDefault="0080449C" w:rsidP="0080449C">
            <w:pPr>
              <w:pStyle w:val="la2"/>
              <w:rPr>
                <w:rFonts w:ascii="Arial" w:hAnsi="Arial" w:cs="Arial"/>
                <w:sz w:val="16"/>
                <w:szCs w:val="16"/>
              </w:rPr>
            </w:pPr>
            <w:r>
              <w:rPr>
                <w:rFonts w:ascii="Arial" w:hAnsi="Arial" w:cs="Arial"/>
                <w:sz w:val="16"/>
                <w:szCs w:val="16"/>
              </w:rPr>
              <w:t> </w:t>
            </w:r>
          </w:p>
          <w:p w14:paraId="347D4116" w14:textId="5BC73291" w:rsidR="0080449C" w:rsidRPr="00306F7C" w:rsidRDefault="0080449C" w:rsidP="0080449C">
            <w:pPr>
              <w:pStyle w:val="NormalWeb"/>
              <w:spacing w:before="0" w:after="0"/>
              <w:rPr>
                <w:rFonts w:ascii="Arial" w:hAnsi="Arial" w:cs="Arial"/>
                <w:sz w:val="16"/>
                <w:szCs w:val="16"/>
              </w:rPr>
            </w:pPr>
            <w:r>
              <w:rPr>
                <w:rFonts w:ascii="Arial" w:hAnsi="Arial" w:cs="Arial"/>
                <w:sz w:val="4"/>
                <w:szCs w:val="4"/>
              </w:rPr>
              <w:t> </w:t>
            </w:r>
          </w:p>
        </w:tc>
        <w:tc>
          <w:tcPr>
            <w:tcW w:w="1512" w:type="dxa"/>
            <w:tcBorders>
              <w:bottom w:val="single" w:sz="6" w:space="0" w:color="595959"/>
            </w:tcBorders>
            <w:noWrap/>
            <w:tcMar>
              <w:top w:w="0" w:type="dxa"/>
              <w:left w:w="0" w:type="dxa"/>
              <w:bottom w:w="0" w:type="dxa"/>
              <w:right w:w="0" w:type="dxa"/>
            </w:tcMar>
            <w:vAlign w:val="bottom"/>
            <w:hideMark/>
          </w:tcPr>
          <w:p w14:paraId="4436AB27" w14:textId="77777777" w:rsidR="0080449C" w:rsidRDefault="0080449C" w:rsidP="0080449C">
            <w:pPr>
              <w:rPr>
                <w:rFonts w:ascii="Arial" w:hAnsi="Arial" w:cs="Arial"/>
                <w:sz w:val="16"/>
                <w:szCs w:val="16"/>
              </w:rPr>
            </w:pPr>
            <w:r>
              <w:rPr>
                <w:rFonts w:ascii="Arial" w:hAnsi="Arial" w:cs="Arial"/>
                <w:sz w:val="16"/>
                <w:szCs w:val="16"/>
              </w:rPr>
              <w:t>2023 Cash Incentive</w:t>
            </w:r>
          </w:p>
        </w:tc>
        <w:tc>
          <w:tcPr>
            <w:tcW w:w="921" w:type="dxa"/>
            <w:tcBorders>
              <w:bottom w:val="single" w:sz="6" w:space="0" w:color="595959"/>
            </w:tcBorders>
            <w:noWrap/>
            <w:tcMar>
              <w:top w:w="0" w:type="dxa"/>
              <w:left w:w="0" w:type="dxa"/>
              <w:bottom w:w="0" w:type="dxa"/>
              <w:right w:w="0" w:type="dxa"/>
            </w:tcMar>
            <w:vAlign w:val="bottom"/>
            <w:hideMark/>
          </w:tcPr>
          <w:p w14:paraId="0050DFEC" w14:textId="69A3A888"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69" w:type="dxa"/>
            <w:tcBorders>
              <w:bottom w:val="single" w:sz="6" w:space="0" w:color="595959"/>
            </w:tcBorders>
            <w:noWrap/>
            <w:tcMar>
              <w:top w:w="0" w:type="dxa"/>
              <w:left w:w="0" w:type="dxa"/>
              <w:bottom w:w="0" w:type="dxa"/>
              <w:right w:w="0" w:type="dxa"/>
            </w:tcMar>
            <w:vAlign w:val="bottom"/>
            <w:hideMark/>
          </w:tcPr>
          <w:p w14:paraId="39AB11AA" w14:textId="77777777" w:rsidR="0080449C" w:rsidRPr="00306F7C" w:rsidRDefault="0080449C" w:rsidP="0080449C">
            <w:pPr>
              <w:pStyle w:val="NormalWeb"/>
              <w:tabs>
                <w:tab w:val="right" w:pos="820"/>
                <w:tab w:val="decimal" w:pos="860"/>
              </w:tabs>
              <w:spacing w:before="0" w:beforeAutospacing="0" w:after="20" w:afterAutospacing="0"/>
              <w:rPr>
                <w:rFonts w:ascii="Arial" w:hAnsi="Arial" w:cs="Arial"/>
                <w:sz w:val="16"/>
                <w:szCs w:val="16"/>
              </w:rPr>
            </w:pPr>
            <w:r>
              <w:rPr>
                <w:rFonts w:ascii="Arial" w:hAnsi="Arial" w:cs="Arial"/>
                <w:sz w:val="16"/>
                <w:szCs w:val="16"/>
              </w:rPr>
              <w:tab/>
              <w:t>0</w:t>
            </w:r>
            <w:r>
              <w:rPr>
                <w:rFonts w:ascii="Arial" w:hAnsi="Arial" w:cs="Arial"/>
                <w:sz w:val="16"/>
                <w:szCs w:val="16"/>
              </w:rPr>
              <w:tab/>
            </w:r>
          </w:p>
        </w:tc>
        <w:tc>
          <w:tcPr>
            <w:tcW w:w="904" w:type="dxa"/>
            <w:tcBorders>
              <w:bottom w:val="single" w:sz="6" w:space="0" w:color="595959"/>
            </w:tcBorders>
            <w:noWrap/>
            <w:tcMar>
              <w:top w:w="0" w:type="dxa"/>
              <w:left w:w="0" w:type="dxa"/>
              <w:bottom w:w="0" w:type="dxa"/>
              <w:right w:w="0" w:type="dxa"/>
            </w:tcMar>
            <w:vAlign w:val="bottom"/>
            <w:hideMark/>
          </w:tcPr>
          <w:p w14:paraId="72D171AF" w14:textId="77777777" w:rsidR="0080449C" w:rsidRDefault="0080449C" w:rsidP="0080449C">
            <w:pPr>
              <w:pStyle w:val="NormalWeb"/>
              <w:tabs>
                <w:tab w:val="right" w:pos="860"/>
                <w:tab w:val="decimal" w:pos="900"/>
              </w:tabs>
              <w:spacing w:before="0" w:beforeAutospacing="0" w:after="20" w:afterAutospacing="0"/>
              <w:rPr>
                <w:rFonts w:ascii="Arial" w:hAnsi="Arial" w:cs="Arial"/>
                <w:sz w:val="16"/>
                <w:szCs w:val="16"/>
              </w:rPr>
            </w:pPr>
            <w:r>
              <w:rPr>
                <w:rFonts w:ascii="Arial" w:hAnsi="Arial" w:cs="Arial"/>
                <w:sz w:val="16"/>
                <w:szCs w:val="16"/>
              </w:rPr>
              <w:tab/>
              <w:t>1,700,000</w:t>
            </w:r>
            <w:r>
              <w:rPr>
                <w:rFonts w:ascii="Arial" w:hAnsi="Arial" w:cs="Arial"/>
                <w:sz w:val="16"/>
                <w:szCs w:val="16"/>
              </w:rPr>
              <w:tab/>
            </w:r>
          </w:p>
        </w:tc>
        <w:tc>
          <w:tcPr>
            <w:tcW w:w="886" w:type="dxa"/>
            <w:tcBorders>
              <w:bottom w:val="single" w:sz="6" w:space="0" w:color="595959"/>
            </w:tcBorders>
            <w:noWrap/>
            <w:tcMar>
              <w:top w:w="0" w:type="dxa"/>
              <w:left w:w="0" w:type="dxa"/>
              <w:bottom w:w="0" w:type="dxa"/>
              <w:right w:w="0" w:type="dxa"/>
            </w:tcMar>
            <w:vAlign w:val="bottom"/>
            <w:hideMark/>
          </w:tcPr>
          <w:p w14:paraId="68034760" w14:textId="77777777" w:rsidR="0080449C" w:rsidRDefault="0080449C" w:rsidP="0080449C">
            <w:pPr>
              <w:pStyle w:val="NormalWeb"/>
              <w:tabs>
                <w:tab w:val="right" w:pos="840"/>
                <w:tab w:val="decimal" w:pos="880"/>
              </w:tabs>
              <w:spacing w:before="0" w:beforeAutospacing="0" w:after="20" w:afterAutospacing="0"/>
              <w:rPr>
                <w:rFonts w:ascii="Arial" w:hAnsi="Arial" w:cs="Arial"/>
                <w:sz w:val="16"/>
                <w:szCs w:val="16"/>
              </w:rPr>
            </w:pPr>
            <w:r>
              <w:rPr>
                <w:rFonts w:ascii="Arial" w:hAnsi="Arial" w:cs="Arial"/>
                <w:sz w:val="16"/>
                <w:szCs w:val="16"/>
              </w:rPr>
              <w:tab/>
              <w:t>3,400,000</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hideMark/>
          </w:tcPr>
          <w:p w14:paraId="60D61101" w14:textId="5A2A0C73"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714" w:type="dxa"/>
            <w:tcBorders>
              <w:bottom w:val="single" w:sz="6" w:space="0" w:color="595959"/>
            </w:tcBorders>
            <w:noWrap/>
            <w:tcMar>
              <w:top w:w="0" w:type="dxa"/>
              <w:left w:w="0" w:type="dxa"/>
              <w:bottom w:w="0" w:type="dxa"/>
              <w:right w:w="0" w:type="dxa"/>
            </w:tcMar>
            <w:hideMark/>
          </w:tcPr>
          <w:p w14:paraId="0F57391F" w14:textId="1A2C6D7F"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hideMark/>
          </w:tcPr>
          <w:p w14:paraId="20370100" w14:textId="3571732F"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679" w:type="dxa"/>
            <w:tcBorders>
              <w:bottom w:val="single" w:sz="6" w:space="0" w:color="595959"/>
            </w:tcBorders>
            <w:noWrap/>
            <w:tcMar>
              <w:top w:w="0" w:type="dxa"/>
              <w:left w:w="0" w:type="dxa"/>
              <w:bottom w:w="0" w:type="dxa"/>
              <w:right w:w="0" w:type="dxa"/>
            </w:tcMar>
            <w:hideMark/>
          </w:tcPr>
          <w:p w14:paraId="792E3350" w14:textId="5C5CA7F1"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90" w:type="dxa"/>
            <w:tcBorders>
              <w:bottom w:val="single" w:sz="6" w:space="0" w:color="595959"/>
            </w:tcBorders>
            <w:noWrap/>
            <w:tcMar>
              <w:top w:w="0" w:type="dxa"/>
              <w:left w:w="0" w:type="dxa"/>
              <w:bottom w:w="0" w:type="dxa"/>
              <w:right w:w="0" w:type="dxa"/>
            </w:tcMar>
            <w:vAlign w:val="bottom"/>
            <w:hideMark/>
          </w:tcPr>
          <w:p w14:paraId="7C738DDA" w14:textId="2774CF12"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r>
      <w:tr w:rsidR="0080449C" w14:paraId="1259D227" w14:textId="77777777" w:rsidTr="005B28CD">
        <w:tc>
          <w:tcPr>
            <w:tcW w:w="1575" w:type="dxa"/>
            <w:vMerge/>
            <w:vAlign w:val="center"/>
            <w:hideMark/>
          </w:tcPr>
          <w:p w14:paraId="7B216C36" w14:textId="040DBD9D" w:rsidR="0080449C" w:rsidRPr="00306F7C" w:rsidRDefault="0080449C" w:rsidP="0080449C">
            <w:pPr>
              <w:pStyle w:val="NormalWeb"/>
              <w:spacing w:before="0" w:after="0"/>
              <w:rPr>
                <w:rFonts w:ascii="Arial" w:hAnsi="Arial" w:cs="Arial"/>
                <w:sz w:val="16"/>
                <w:szCs w:val="16"/>
              </w:rPr>
            </w:pPr>
          </w:p>
        </w:tc>
        <w:tc>
          <w:tcPr>
            <w:tcW w:w="1512" w:type="dxa"/>
            <w:tcBorders>
              <w:bottom w:val="single" w:sz="6" w:space="0" w:color="595959"/>
            </w:tcBorders>
            <w:noWrap/>
            <w:tcMar>
              <w:top w:w="0" w:type="dxa"/>
              <w:left w:w="0" w:type="dxa"/>
              <w:bottom w:w="0" w:type="dxa"/>
              <w:right w:w="0" w:type="dxa"/>
            </w:tcMar>
            <w:vAlign w:val="bottom"/>
            <w:hideMark/>
          </w:tcPr>
          <w:p w14:paraId="4C4154B8" w14:textId="77777777" w:rsidR="0080449C" w:rsidRDefault="0080449C" w:rsidP="0080449C">
            <w:pPr>
              <w:rPr>
                <w:rFonts w:ascii="Arial" w:hAnsi="Arial" w:cs="Arial"/>
                <w:sz w:val="16"/>
                <w:szCs w:val="16"/>
              </w:rPr>
            </w:pPr>
            <w:r>
              <w:rPr>
                <w:rFonts w:ascii="Arial" w:hAnsi="Arial" w:cs="Arial"/>
                <w:sz w:val="16"/>
                <w:szCs w:val="16"/>
              </w:rPr>
              <w:t>2023 PSA</w:t>
            </w:r>
          </w:p>
        </w:tc>
        <w:tc>
          <w:tcPr>
            <w:tcW w:w="921" w:type="dxa"/>
            <w:tcBorders>
              <w:bottom w:val="single" w:sz="6" w:space="0" w:color="595959"/>
            </w:tcBorders>
            <w:noWrap/>
            <w:tcMar>
              <w:top w:w="0" w:type="dxa"/>
              <w:left w:w="0" w:type="dxa"/>
              <w:bottom w:w="0" w:type="dxa"/>
              <w:right w:w="0" w:type="dxa"/>
            </w:tcMar>
            <w:vAlign w:val="bottom"/>
            <w:hideMark/>
          </w:tcPr>
          <w:p w14:paraId="015BEF7D"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hideMark/>
          </w:tcPr>
          <w:p w14:paraId="3EFF3D51" w14:textId="42E4111A"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595959"/>
            </w:tcBorders>
            <w:noWrap/>
            <w:tcMar>
              <w:top w:w="0" w:type="dxa"/>
              <w:left w:w="0" w:type="dxa"/>
              <w:bottom w:w="0" w:type="dxa"/>
              <w:right w:w="0" w:type="dxa"/>
            </w:tcMar>
            <w:hideMark/>
          </w:tcPr>
          <w:p w14:paraId="60E01B06" w14:textId="245FB3AF"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595959"/>
            </w:tcBorders>
            <w:noWrap/>
            <w:tcMar>
              <w:top w:w="0" w:type="dxa"/>
              <w:left w:w="0" w:type="dxa"/>
              <w:bottom w:w="0" w:type="dxa"/>
              <w:right w:w="0" w:type="dxa"/>
            </w:tcMar>
            <w:hideMark/>
          </w:tcPr>
          <w:p w14:paraId="1079AF3E" w14:textId="54879EFD"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vAlign w:val="bottom"/>
            <w:hideMark/>
          </w:tcPr>
          <w:p w14:paraId="27448CE1" w14:textId="77777777" w:rsidR="0080449C" w:rsidRPr="00306F7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179</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0BDD65CA" w14:textId="77777777" w:rsidR="0080449C" w:rsidRDefault="0080449C" w:rsidP="0080449C">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4,781</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4796A5E3" w14:textId="77777777" w:rsidR="0080449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14,342</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hideMark/>
          </w:tcPr>
          <w:p w14:paraId="7966D572" w14:textId="07A5D84E"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90" w:type="dxa"/>
            <w:tcBorders>
              <w:bottom w:val="single" w:sz="6" w:space="0" w:color="595959"/>
            </w:tcBorders>
            <w:noWrap/>
            <w:tcMar>
              <w:top w:w="0" w:type="dxa"/>
              <w:left w:w="0" w:type="dxa"/>
              <w:bottom w:w="0" w:type="dxa"/>
              <w:right w:w="0" w:type="dxa"/>
            </w:tcMar>
            <w:vAlign w:val="bottom"/>
            <w:hideMark/>
          </w:tcPr>
          <w:p w14:paraId="79176A66" w14:textId="77777777" w:rsidR="0080449C" w:rsidRPr="00306F7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1,282,223</w:t>
            </w:r>
            <w:r>
              <w:rPr>
                <w:rFonts w:ascii="Arial" w:hAnsi="Arial" w:cs="Arial"/>
                <w:sz w:val="16"/>
                <w:szCs w:val="16"/>
              </w:rPr>
              <w:tab/>
            </w:r>
          </w:p>
        </w:tc>
      </w:tr>
      <w:tr w:rsidR="0080449C" w14:paraId="17E75E50" w14:textId="77777777" w:rsidTr="005B28CD">
        <w:tc>
          <w:tcPr>
            <w:tcW w:w="1575" w:type="dxa"/>
            <w:vMerge/>
            <w:vAlign w:val="center"/>
            <w:hideMark/>
          </w:tcPr>
          <w:p w14:paraId="1ADFE8D4" w14:textId="47331B2C" w:rsidR="0080449C" w:rsidRPr="00306F7C" w:rsidRDefault="0080449C" w:rsidP="0080449C">
            <w:pPr>
              <w:pStyle w:val="NormalWeb"/>
              <w:spacing w:before="0" w:after="0"/>
              <w:rPr>
                <w:rFonts w:ascii="Arial" w:hAnsi="Arial" w:cs="Arial"/>
                <w:sz w:val="16"/>
                <w:szCs w:val="16"/>
              </w:rPr>
            </w:pPr>
          </w:p>
        </w:tc>
        <w:tc>
          <w:tcPr>
            <w:tcW w:w="1512" w:type="dxa"/>
            <w:tcBorders>
              <w:bottom w:val="single" w:sz="6" w:space="0" w:color="595959"/>
            </w:tcBorders>
            <w:noWrap/>
            <w:tcMar>
              <w:top w:w="0" w:type="dxa"/>
              <w:left w:w="0" w:type="dxa"/>
              <w:bottom w:w="0" w:type="dxa"/>
              <w:right w:w="0" w:type="dxa"/>
            </w:tcMar>
            <w:vAlign w:val="bottom"/>
            <w:hideMark/>
          </w:tcPr>
          <w:p w14:paraId="1AF3CB82" w14:textId="77777777" w:rsidR="0080449C" w:rsidRDefault="0080449C" w:rsidP="0080449C">
            <w:pPr>
              <w:rPr>
                <w:rFonts w:ascii="Arial" w:hAnsi="Arial" w:cs="Arial"/>
                <w:sz w:val="16"/>
                <w:szCs w:val="16"/>
              </w:rPr>
            </w:pPr>
            <w:r>
              <w:rPr>
                <w:rFonts w:ascii="Arial" w:hAnsi="Arial" w:cs="Arial"/>
                <w:sz w:val="16"/>
                <w:szCs w:val="16"/>
              </w:rPr>
              <w:t>2022 PSA</w:t>
            </w:r>
          </w:p>
        </w:tc>
        <w:tc>
          <w:tcPr>
            <w:tcW w:w="921" w:type="dxa"/>
            <w:tcBorders>
              <w:bottom w:val="single" w:sz="6" w:space="0" w:color="595959"/>
            </w:tcBorders>
            <w:noWrap/>
            <w:tcMar>
              <w:top w:w="0" w:type="dxa"/>
              <w:left w:w="0" w:type="dxa"/>
              <w:bottom w:w="0" w:type="dxa"/>
              <w:right w:w="0" w:type="dxa"/>
            </w:tcMar>
            <w:vAlign w:val="bottom"/>
            <w:hideMark/>
          </w:tcPr>
          <w:p w14:paraId="15D30070"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hideMark/>
          </w:tcPr>
          <w:p w14:paraId="5AC483BB" w14:textId="4270DB80"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595959"/>
            </w:tcBorders>
            <w:noWrap/>
            <w:tcMar>
              <w:top w:w="0" w:type="dxa"/>
              <w:left w:w="0" w:type="dxa"/>
              <w:bottom w:w="0" w:type="dxa"/>
              <w:right w:w="0" w:type="dxa"/>
            </w:tcMar>
            <w:hideMark/>
          </w:tcPr>
          <w:p w14:paraId="3FFE7BDE" w14:textId="067D0284"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595959"/>
            </w:tcBorders>
            <w:noWrap/>
            <w:tcMar>
              <w:top w:w="0" w:type="dxa"/>
              <w:left w:w="0" w:type="dxa"/>
              <w:bottom w:w="0" w:type="dxa"/>
              <w:right w:w="0" w:type="dxa"/>
            </w:tcMar>
            <w:hideMark/>
          </w:tcPr>
          <w:p w14:paraId="20E2D2CF" w14:textId="71EB2686"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vAlign w:val="bottom"/>
            <w:hideMark/>
          </w:tcPr>
          <w:p w14:paraId="38BE1CE7" w14:textId="77777777" w:rsidR="0080449C" w:rsidRPr="00306F7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155</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70678B41" w14:textId="77777777" w:rsidR="0080449C" w:rsidRDefault="0080449C" w:rsidP="0080449C">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4,141</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4F562570" w14:textId="77777777" w:rsidR="0080449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12,423</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hideMark/>
          </w:tcPr>
          <w:p w14:paraId="36E71806" w14:textId="0067E99A"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90" w:type="dxa"/>
            <w:tcBorders>
              <w:bottom w:val="single" w:sz="6" w:space="0" w:color="595959"/>
            </w:tcBorders>
            <w:noWrap/>
            <w:tcMar>
              <w:top w:w="0" w:type="dxa"/>
              <w:left w:w="0" w:type="dxa"/>
              <w:bottom w:w="0" w:type="dxa"/>
              <w:right w:w="0" w:type="dxa"/>
            </w:tcMar>
            <w:vAlign w:val="bottom"/>
            <w:hideMark/>
          </w:tcPr>
          <w:p w14:paraId="5A916BF4" w14:textId="77777777" w:rsidR="0080449C" w:rsidRPr="00306F7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1,159,066</w:t>
            </w:r>
            <w:r>
              <w:rPr>
                <w:rFonts w:ascii="Arial" w:hAnsi="Arial" w:cs="Arial"/>
                <w:sz w:val="16"/>
                <w:szCs w:val="16"/>
              </w:rPr>
              <w:tab/>
            </w:r>
          </w:p>
        </w:tc>
      </w:tr>
      <w:tr w:rsidR="0080449C" w14:paraId="3962ADB5" w14:textId="77777777" w:rsidTr="005B28CD">
        <w:tc>
          <w:tcPr>
            <w:tcW w:w="1575" w:type="dxa"/>
            <w:vMerge/>
            <w:tcMar>
              <w:top w:w="0" w:type="dxa"/>
              <w:left w:w="144" w:type="dxa"/>
              <w:bottom w:w="0" w:type="dxa"/>
              <w:right w:w="0" w:type="dxa"/>
            </w:tcMar>
            <w:hideMark/>
          </w:tcPr>
          <w:p w14:paraId="0B1AE36F" w14:textId="4B378615" w:rsidR="0080449C" w:rsidRDefault="0080449C" w:rsidP="0080449C">
            <w:pPr>
              <w:pStyle w:val="NormalWeb"/>
              <w:spacing w:before="0" w:beforeAutospacing="0" w:after="0" w:afterAutospacing="0"/>
              <w:rPr>
                <w:rFonts w:ascii="Arial" w:hAnsi="Arial" w:cs="Arial"/>
                <w:sz w:val="4"/>
                <w:szCs w:val="4"/>
              </w:rPr>
            </w:pPr>
          </w:p>
        </w:tc>
        <w:tc>
          <w:tcPr>
            <w:tcW w:w="1512" w:type="dxa"/>
            <w:tcBorders>
              <w:bottom w:val="single" w:sz="6" w:space="0" w:color="595959"/>
            </w:tcBorders>
            <w:noWrap/>
            <w:tcMar>
              <w:top w:w="0" w:type="dxa"/>
              <w:left w:w="0" w:type="dxa"/>
              <w:bottom w:w="0" w:type="dxa"/>
              <w:right w:w="0" w:type="dxa"/>
            </w:tcMar>
            <w:vAlign w:val="bottom"/>
            <w:hideMark/>
          </w:tcPr>
          <w:p w14:paraId="2193D9EA" w14:textId="77777777" w:rsidR="0080449C" w:rsidRDefault="0080449C" w:rsidP="0080449C">
            <w:pPr>
              <w:rPr>
                <w:rFonts w:ascii="Arial" w:hAnsi="Arial" w:cs="Arial"/>
                <w:sz w:val="16"/>
                <w:szCs w:val="16"/>
              </w:rPr>
            </w:pPr>
            <w:r>
              <w:rPr>
                <w:rFonts w:ascii="Arial" w:hAnsi="Arial" w:cs="Arial"/>
                <w:sz w:val="16"/>
                <w:szCs w:val="16"/>
              </w:rPr>
              <w:t>2021 PSA</w:t>
            </w:r>
          </w:p>
        </w:tc>
        <w:tc>
          <w:tcPr>
            <w:tcW w:w="921" w:type="dxa"/>
            <w:tcBorders>
              <w:bottom w:val="single" w:sz="6" w:space="0" w:color="595959"/>
            </w:tcBorders>
            <w:noWrap/>
            <w:tcMar>
              <w:top w:w="0" w:type="dxa"/>
              <w:left w:w="0" w:type="dxa"/>
              <w:bottom w:w="0" w:type="dxa"/>
              <w:right w:w="0" w:type="dxa"/>
            </w:tcMar>
            <w:vAlign w:val="bottom"/>
            <w:hideMark/>
          </w:tcPr>
          <w:p w14:paraId="401BAF83"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hideMark/>
          </w:tcPr>
          <w:p w14:paraId="012915B3" w14:textId="7EA19B28"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595959"/>
            </w:tcBorders>
            <w:noWrap/>
            <w:tcMar>
              <w:top w:w="0" w:type="dxa"/>
              <w:left w:w="0" w:type="dxa"/>
              <w:bottom w:w="0" w:type="dxa"/>
              <w:right w:w="0" w:type="dxa"/>
            </w:tcMar>
            <w:hideMark/>
          </w:tcPr>
          <w:p w14:paraId="20323717" w14:textId="04D62F70"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595959"/>
            </w:tcBorders>
            <w:noWrap/>
            <w:tcMar>
              <w:top w:w="0" w:type="dxa"/>
              <w:left w:w="0" w:type="dxa"/>
              <w:bottom w:w="0" w:type="dxa"/>
              <w:right w:w="0" w:type="dxa"/>
            </w:tcMar>
            <w:hideMark/>
          </w:tcPr>
          <w:p w14:paraId="417836A3" w14:textId="6531E1FB"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595959"/>
            </w:tcBorders>
            <w:noWrap/>
            <w:tcMar>
              <w:top w:w="0" w:type="dxa"/>
              <w:left w:w="0" w:type="dxa"/>
              <w:bottom w:w="0" w:type="dxa"/>
              <w:right w:w="0" w:type="dxa"/>
            </w:tcMar>
            <w:vAlign w:val="bottom"/>
            <w:hideMark/>
          </w:tcPr>
          <w:p w14:paraId="3BD4E2EB" w14:textId="77777777" w:rsidR="0080449C" w:rsidRPr="00306F7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216</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71122F7A" w14:textId="77777777" w:rsidR="0080449C" w:rsidRDefault="0080449C" w:rsidP="0080449C">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5,772</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61B460EA" w14:textId="77777777" w:rsidR="0080449C" w:rsidRDefault="0080449C" w:rsidP="0080449C">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17,316</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hideMark/>
          </w:tcPr>
          <w:p w14:paraId="5FF6EC1D" w14:textId="2D797471"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90" w:type="dxa"/>
            <w:tcBorders>
              <w:bottom w:val="single" w:sz="6" w:space="0" w:color="595959"/>
            </w:tcBorders>
            <w:noWrap/>
            <w:tcMar>
              <w:top w:w="0" w:type="dxa"/>
              <w:left w:w="0" w:type="dxa"/>
              <w:bottom w:w="0" w:type="dxa"/>
              <w:right w:w="0" w:type="dxa"/>
            </w:tcMar>
            <w:vAlign w:val="bottom"/>
            <w:hideMark/>
          </w:tcPr>
          <w:p w14:paraId="1ECCFF16" w14:textId="77777777" w:rsidR="0080449C" w:rsidRPr="00306F7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1,492,350</w:t>
            </w:r>
            <w:r>
              <w:rPr>
                <w:rFonts w:ascii="Arial" w:hAnsi="Arial" w:cs="Arial"/>
                <w:sz w:val="16"/>
                <w:szCs w:val="16"/>
              </w:rPr>
              <w:tab/>
            </w:r>
          </w:p>
        </w:tc>
      </w:tr>
      <w:tr w:rsidR="0080449C" w14:paraId="531AC871" w14:textId="77777777" w:rsidTr="007D3DD6">
        <w:tc>
          <w:tcPr>
            <w:tcW w:w="1575" w:type="dxa"/>
            <w:vMerge/>
            <w:tcBorders>
              <w:bottom w:val="single" w:sz="6" w:space="0" w:color="0075C9"/>
            </w:tcBorders>
            <w:tcMar>
              <w:top w:w="0" w:type="dxa"/>
              <w:left w:w="0" w:type="dxa"/>
              <w:bottom w:w="40" w:type="dxa"/>
              <w:right w:w="0" w:type="dxa"/>
            </w:tcMar>
            <w:hideMark/>
          </w:tcPr>
          <w:p w14:paraId="571466E9" w14:textId="77777777" w:rsidR="0080449C" w:rsidRDefault="0080449C" w:rsidP="0080449C">
            <w:pPr>
              <w:rPr>
                <w:rFonts w:ascii="Arial" w:hAnsi="Arial" w:cs="Arial"/>
                <w:sz w:val="2"/>
                <w:szCs w:val="2"/>
              </w:rPr>
            </w:pPr>
          </w:p>
        </w:tc>
        <w:tc>
          <w:tcPr>
            <w:tcW w:w="1512" w:type="dxa"/>
            <w:tcBorders>
              <w:bottom w:val="single" w:sz="6" w:space="0" w:color="0075C9"/>
            </w:tcBorders>
            <w:noWrap/>
            <w:tcMar>
              <w:top w:w="0" w:type="dxa"/>
              <w:left w:w="0" w:type="dxa"/>
              <w:bottom w:w="0" w:type="dxa"/>
              <w:right w:w="0" w:type="dxa"/>
            </w:tcMar>
            <w:vAlign w:val="bottom"/>
            <w:hideMark/>
          </w:tcPr>
          <w:p w14:paraId="44BCCE5D" w14:textId="77777777" w:rsidR="0080449C" w:rsidRDefault="0080449C" w:rsidP="0080449C">
            <w:pPr>
              <w:rPr>
                <w:rFonts w:ascii="Arial" w:hAnsi="Arial" w:cs="Arial"/>
                <w:sz w:val="16"/>
                <w:szCs w:val="16"/>
              </w:rPr>
            </w:pPr>
            <w:r>
              <w:rPr>
                <w:rFonts w:ascii="Arial" w:hAnsi="Arial" w:cs="Arial"/>
                <w:sz w:val="16"/>
                <w:szCs w:val="16"/>
              </w:rPr>
              <w:t>2023 Stock Award</w:t>
            </w:r>
          </w:p>
        </w:tc>
        <w:tc>
          <w:tcPr>
            <w:tcW w:w="921" w:type="dxa"/>
            <w:tcBorders>
              <w:bottom w:val="single" w:sz="6" w:space="0" w:color="0075C9"/>
            </w:tcBorders>
            <w:noWrap/>
            <w:tcMar>
              <w:top w:w="0" w:type="dxa"/>
              <w:left w:w="0" w:type="dxa"/>
              <w:bottom w:w="0" w:type="dxa"/>
              <w:right w:w="0" w:type="dxa"/>
            </w:tcMar>
            <w:vAlign w:val="bottom"/>
            <w:hideMark/>
          </w:tcPr>
          <w:p w14:paraId="1A4597D6" w14:textId="77777777" w:rsidR="0080449C" w:rsidRPr="00306F7C" w:rsidRDefault="0080449C" w:rsidP="0080449C">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0075C9"/>
            </w:tcBorders>
            <w:noWrap/>
            <w:tcMar>
              <w:top w:w="0" w:type="dxa"/>
              <w:left w:w="0" w:type="dxa"/>
              <w:bottom w:w="0" w:type="dxa"/>
              <w:right w:w="0" w:type="dxa"/>
            </w:tcMar>
            <w:hideMark/>
          </w:tcPr>
          <w:p w14:paraId="7ADE9C3E" w14:textId="18CA4FAF"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04" w:type="dxa"/>
            <w:tcBorders>
              <w:bottom w:val="single" w:sz="6" w:space="0" w:color="0075C9"/>
            </w:tcBorders>
            <w:noWrap/>
            <w:tcMar>
              <w:top w:w="0" w:type="dxa"/>
              <w:left w:w="0" w:type="dxa"/>
              <w:bottom w:w="0" w:type="dxa"/>
              <w:right w:w="0" w:type="dxa"/>
            </w:tcMar>
            <w:hideMark/>
          </w:tcPr>
          <w:p w14:paraId="491CFCDF" w14:textId="27E698FB"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886" w:type="dxa"/>
            <w:tcBorders>
              <w:bottom w:val="single" w:sz="6" w:space="0" w:color="0075C9"/>
            </w:tcBorders>
            <w:noWrap/>
            <w:tcMar>
              <w:top w:w="0" w:type="dxa"/>
              <w:left w:w="0" w:type="dxa"/>
              <w:bottom w:w="0" w:type="dxa"/>
              <w:right w:w="0" w:type="dxa"/>
            </w:tcMar>
            <w:hideMark/>
          </w:tcPr>
          <w:p w14:paraId="781DC4B6" w14:textId="45B74B66"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0075C9"/>
            </w:tcBorders>
            <w:noWrap/>
            <w:tcMar>
              <w:top w:w="0" w:type="dxa"/>
              <w:left w:w="0" w:type="dxa"/>
              <w:bottom w:w="0" w:type="dxa"/>
              <w:right w:w="0" w:type="dxa"/>
            </w:tcMar>
            <w:hideMark/>
          </w:tcPr>
          <w:p w14:paraId="291061D2" w14:textId="7DAF80A5"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714" w:type="dxa"/>
            <w:tcBorders>
              <w:bottom w:val="single" w:sz="6" w:space="0" w:color="0075C9"/>
            </w:tcBorders>
            <w:noWrap/>
            <w:tcMar>
              <w:top w:w="0" w:type="dxa"/>
              <w:left w:w="0" w:type="dxa"/>
              <w:bottom w:w="0" w:type="dxa"/>
              <w:right w:w="0" w:type="dxa"/>
            </w:tcMar>
            <w:hideMark/>
          </w:tcPr>
          <w:p w14:paraId="748577BF" w14:textId="50E741A3"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938" w:type="dxa"/>
            <w:tcBorders>
              <w:bottom w:val="single" w:sz="6" w:space="0" w:color="0075C9"/>
            </w:tcBorders>
            <w:noWrap/>
            <w:tcMar>
              <w:top w:w="0" w:type="dxa"/>
              <w:left w:w="0" w:type="dxa"/>
              <w:bottom w:w="0" w:type="dxa"/>
              <w:right w:w="0" w:type="dxa"/>
            </w:tcMar>
            <w:hideMark/>
          </w:tcPr>
          <w:p w14:paraId="3F4FDF03" w14:textId="52CDE241" w:rsidR="0080449C" w:rsidRPr="0080449C" w:rsidRDefault="0080449C" w:rsidP="0080449C">
            <w:pPr>
              <w:rPr>
                <w:rFonts w:ascii="Arial" w:hAnsi="Arial" w:cs="Arial"/>
                <w:color w:val="FFFFFF" w:themeColor="background1"/>
                <w:sz w:val="16"/>
                <w:szCs w:val="16"/>
              </w:rPr>
            </w:pPr>
            <w:r w:rsidRPr="0080449C">
              <w:rPr>
                <w:rFonts w:ascii="Arial" w:hAnsi="Arial" w:cs="Arial"/>
                <w:color w:val="FFFFFF" w:themeColor="background1"/>
                <w:sz w:val="16"/>
                <w:szCs w:val="16"/>
              </w:rPr>
              <w:t>NA</w:t>
            </w:r>
          </w:p>
        </w:tc>
        <w:tc>
          <w:tcPr>
            <w:tcW w:w="679" w:type="dxa"/>
            <w:tcBorders>
              <w:bottom w:val="single" w:sz="6" w:space="0" w:color="0075C9"/>
            </w:tcBorders>
            <w:noWrap/>
            <w:tcMar>
              <w:top w:w="0" w:type="dxa"/>
              <w:left w:w="0" w:type="dxa"/>
              <w:bottom w:w="0" w:type="dxa"/>
              <w:right w:w="0" w:type="dxa"/>
            </w:tcMar>
            <w:vAlign w:val="bottom"/>
            <w:hideMark/>
          </w:tcPr>
          <w:p w14:paraId="762B3D0B" w14:textId="77777777" w:rsidR="0080449C" w:rsidRPr="00306F7C" w:rsidRDefault="0080449C" w:rsidP="0080449C">
            <w:pPr>
              <w:pStyle w:val="NormalWeb"/>
              <w:tabs>
                <w:tab w:val="right" w:pos="600"/>
                <w:tab w:val="decimal" w:pos="640"/>
              </w:tabs>
              <w:spacing w:before="0" w:beforeAutospacing="0" w:after="20" w:afterAutospacing="0"/>
              <w:rPr>
                <w:rFonts w:ascii="Arial" w:hAnsi="Arial" w:cs="Arial"/>
                <w:sz w:val="16"/>
                <w:szCs w:val="16"/>
              </w:rPr>
            </w:pPr>
            <w:r>
              <w:rPr>
                <w:rFonts w:ascii="Arial" w:hAnsi="Arial" w:cs="Arial"/>
                <w:sz w:val="16"/>
                <w:szCs w:val="16"/>
              </w:rPr>
              <w:tab/>
              <w:t>14,342</w:t>
            </w:r>
            <w:r>
              <w:rPr>
                <w:rFonts w:ascii="Arial" w:hAnsi="Arial" w:cs="Arial"/>
                <w:sz w:val="16"/>
                <w:szCs w:val="16"/>
              </w:rPr>
              <w:tab/>
            </w:r>
          </w:p>
        </w:tc>
        <w:tc>
          <w:tcPr>
            <w:tcW w:w="990" w:type="dxa"/>
            <w:tcBorders>
              <w:bottom w:val="single" w:sz="6" w:space="0" w:color="0075C9"/>
            </w:tcBorders>
            <w:noWrap/>
            <w:tcMar>
              <w:top w:w="0" w:type="dxa"/>
              <w:left w:w="0" w:type="dxa"/>
              <w:bottom w:w="0" w:type="dxa"/>
              <w:right w:w="0" w:type="dxa"/>
            </w:tcMar>
            <w:vAlign w:val="bottom"/>
            <w:hideMark/>
          </w:tcPr>
          <w:p w14:paraId="73D1CFB8" w14:textId="77777777" w:rsidR="0080449C" w:rsidRDefault="0080449C" w:rsidP="0080449C">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3,421,769</w:t>
            </w:r>
            <w:r>
              <w:rPr>
                <w:rFonts w:ascii="Arial" w:hAnsi="Arial" w:cs="Arial"/>
                <w:sz w:val="16"/>
                <w:szCs w:val="16"/>
              </w:rPr>
              <w:tab/>
            </w:r>
          </w:p>
        </w:tc>
      </w:tr>
    </w:tbl>
    <w:p w14:paraId="458887F8"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All awards are granted under the Executive Incentive Plan. SAs and PSAs were granted under the 2017 Stock Plan. </w:t>
      </w:r>
    </w:p>
    <w:p w14:paraId="21D504AB"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This column represents fiscal year 2023 cash incentives. Please see the section entitled “Fiscal Year 2023 Cash Incentive Awards” in the Compensation Discussion and Analysis for more information. </w:t>
      </w:r>
    </w:p>
    <w:p w14:paraId="0420EA38"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These columns represent the threshold, target, and maximum shares for the PSAs with a grant date in fiscal year 2023. Because the grant date for a PSA occurs when PSA performance targets are approved, the reported number of shares is calculated as the target shares for the portion of the PSAs for which performance targets were set in fiscal year 2023 (33.33% of each of the 2023, 2022, and 2021 PSAs). The threshold is calculated as if the threshold of only the least weighted metric (10% weight for fiscal year 2023) is met, and this amount is then reduced by 25% based on assumption that the maximum adjustment for Microsoft’s total shareholder return underperforming the S&amp;P 500 is applied. The maximum is calculated assuming all maximum targets were met and the relative TSR multiplier was fully earned. </w:t>
      </w:r>
    </w:p>
    <w:p w14:paraId="7DC60E80"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Includes the grant date fair values for SAs and PSAs calculated in accordance with FASB ASC Topic 718 based on the market price of the shares subject to the award on the date of grant. The value of SAs is reduced by the present value of estimated future dividends because dividends are not paid on SA shares </w:t>
      </w:r>
      <w:proofErr w:type="gramStart"/>
      <w:r>
        <w:rPr>
          <w:rFonts w:ascii="Arial" w:hAnsi="Arial" w:cs="Arial"/>
          <w:sz w:val="14"/>
          <w:szCs w:val="14"/>
        </w:rPr>
        <w:t>until</w:t>
      </w:r>
      <w:proofErr w:type="gramEnd"/>
      <w:r>
        <w:rPr>
          <w:rFonts w:ascii="Arial" w:hAnsi="Arial" w:cs="Arial"/>
          <w:sz w:val="14"/>
          <w:szCs w:val="14"/>
        </w:rPr>
        <w:t xml:space="preserve"> vesting. Values for PSAs in this column are calculated using a Monte Carlo simulation valuation performed as of the date of grant by an independent third party. Because the grant date for a PSA occurs when PSA performance targets are approved, the grant date fair value is calculated for the portion of the PSA for which performance targets were set in fiscal year 2023 (33.33% of each of the 2023, 2022, and 2021 PSAs). </w:t>
      </w:r>
    </w:p>
    <w:p w14:paraId="3227527E" w14:textId="77777777" w:rsidR="00D246A9" w:rsidRDefault="00D246A9">
      <w:pPr>
        <w:pStyle w:val="NormalWeb"/>
        <w:spacing w:before="270" w:beforeAutospacing="0" w:after="0" w:afterAutospacing="0"/>
        <w:rPr>
          <w:sz w:val="2"/>
          <w:szCs w:val="2"/>
        </w:rPr>
      </w:pPr>
      <w:r>
        <w:rPr>
          <w:sz w:val="2"/>
          <w:szCs w:val="2"/>
        </w:rPr>
        <w:t> </w:t>
      </w:r>
    </w:p>
    <w:p w14:paraId="4F9EB9B3" w14:textId="77777777" w:rsidR="008E18EB" w:rsidRDefault="008E18EB">
      <w:pPr>
        <w:rPr>
          <w:rFonts w:ascii="Arial" w:hAnsi="Arial" w:cs="Arial"/>
          <w:b/>
          <w:bCs/>
          <w:szCs w:val="24"/>
        </w:rPr>
      </w:pPr>
      <w:bookmarkStart w:id="19" w:name="toc356108_20"/>
      <w:bookmarkEnd w:id="19"/>
      <w:r>
        <w:br w:type="page"/>
      </w:r>
    </w:p>
    <w:p w14:paraId="29946758" w14:textId="603AECE3" w:rsidR="00D246A9" w:rsidRDefault="00D246A9" w:rsidP="008E18EB">
      <w:pPr>
        <w:pStyle w:val="Heading4"/>
      </w:pPr>
      <w:r>
        <w:lastRenderedPageBreak/>
        <w:t xml:space="preserve">Outstanding Equity Awards at June 30, 2023 </w:t>
      </w:r>
    </w:p>
    <w:p w14:paraId="3D4D5DF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provides information about unvested SAs and PSAs held by the Named Executives on June 30, 2023. </w:t>
      </w:r>
    </w:p>
    <w:p w14:paraId="5C1A4250" w14:textId="77777777" w:rsidR="00D246A9" w:rsidRDefault="00D246A9">
      <w:pPr>
        <w:pStyle w:val="NormalWeb"/>
        <w:keepNext/>
        <w:spacing w:before="0" w:beforeAutospacing="0" w:after="0" w:afterAutospacing="0"/>
      </w:pPr>
      <w:r>
        <w:t> </w:t>
      </w:r>
    </w:p>
    <w:tbl>
      <w:tblPr>
        <w:tblW w:w="10800" w:type="dxa"/>
        <w:tblInd w:w="144" w:type="dxa"/>
        <w:tblLayout w:type="fixed"/>
        <w:tblCellMar>
          <w:left w:w="0" w:type="dxa"/>
          <w:right w:w="0" w:type="dxa"/>
        </w:tblCellMar>
        <w:tblLook w:val="04A0" w:firstRow="1" w:lastRow="0" w:firstColumn="1" w:lastColumn="0" w:noHBand="0" w:noVBand="1"/>
      </w:tblPr>
      <w:tblGrid>
        <w:gridCol w:w="2192"/>
        <w:gridCol w:w="840"/>
        <w:gridCol w:w="1716"/>
        <w:gridCol w:w="1664"/>
        <w:gridCol w:w="2264"/>
        <w:gridCol w:w="2124"/>
      </w:tblGrid>
      <w:tr w:rsidR="003B1DDB" w14:paraId="0B552E52" w14:textId="77777777" w:rsidTr="003B1DDB">
        <w:trPr>
          <w:cantSplit/>
          <w:tblHeader/>
        </w:trPr>
        <w:tc>
          <w:tcPr>
            <w:tcW w:w="2192" w:type="dxa"/>
            <w:vMerge w:val="restart"/>
            <w:tcMar>
              <w:top w:w="0" w:type="dxa"/>
              <w:left w:w="144" w:type="dxa"/>
              <w:bottom w:w="0" w:type="dxa"/>
              <w:right w:w="0" w:type="dxa"/>
            </w:tcMar>
            <w:vAlign w:val="bottom"/>
            <w:hideMark/>
          </w:tcPr>
          <w:p w14:paraId="04B48F84" w14:textId="77777777" w:rsidR="003B1DDB" w:rsidRPr="00306F7C" w:rsidRDefault="003B1DDB" w:rsidP="00D87FF2">
            <w:pPr>
              <w:pStyle w:val="la2"/>
              <w:keepNext/>
              <w:rPr>
                <w:rFonts w:ascii="Arial" w:hAnsi="Arial" w:cs="Arial"/>
                <w:sz w:val="18"/>
                <w:szCs w:val="18"/>
              </w:rPr>
            </w:pPr>
            <w:r>
              <w:rPr>
                <w:rFonts w:ascii="Arial" w:hAnsi="Arial" w:cs="Arial"/>
                <w:sz w:val="18"/>
                <w:szCs w:val="18"/>
              </w:rPr>
              <w:t> </w:t>
            </w:r>
          </w:p>
          <w:p w14:paraId="60F7EBBB" w14:textId="1DF26FB4" w:rsidR="003B1DDB" w:rsidRPr="00306F7C" w:rsidRDefault="003B1DDB" w:rsidP="003B1DDB">
            <w:pPr>
              <w:pStyle w:val="NormalWeb"/>
              <w:keepNext/>
              <w:rPr>
                <w:rFonts w:ascii="Arial" w:hAnsi="Arial" w:cs="Arial"/>
                <w:sz w:val="18"/>
                <w:szCs w:val="18"/>
              </w:rPr>
            </w:pPr>
            <w:r>
              <w:rPr>
                <w:rFonts w:ascii="Arial" w:hAnsi="Arial" w:cs="Arial"/>
                <w:b/>
                <w:bCs/>
                <w:sz w:val="18"/>
                <w:szCs w:val="18"/>
              </w:rPr>
              <w:t>Named Executive</w:t>
            </w:r>
          </w:p>
        </w:tc>
        <w:tc>
          <w:tcPr>
            <w:tcW w:w="8608" w:type="dxa"/>
            <w:gridSpan w:val="5"/>
            <w:tcBorders>
              <w:bottom w:val="single" w:sz="6" w:space="0" w:color="000000"/>
            </w:tcBorders>
            <w:tcMar>
              <w:top w:w="0" w:type="dxa"/>
              <w:left w:w="144" w:type="dxa"/>
              <w:bottom w:w="0" w:type="dxa"/>
              <w:right w:w="0" w:type="dxa"/>
            </w:tcMar>
            <w:vAlign w:val="bottom"/>
            <w:hideMark/>
          </w:tcPr>
          <w:p w14:paraId="221B45E5" w14:textId="77777777" w:rsidR="003B1DDB" w:rsidRDefault="003B1DDB" w:rsidP="00D87FF2">
            <w:pPr>
              <w:jc w:val="center"/>
              <w:rPr>
                <w:rFonts w:ascii="Arial" w:hAnsi="Arial" w:cs="Arial"/>
                <w:sz w:val="18"/>
                <w:szCs w:val="18"/>
              </w:rPr>
            </w:pPr>
            <w:r>
              <w:rPr>
                <w:rFonts w:ascii="Arial" w:hAnsi="Arial" w:cs="Arial"/>
                <w:b/>
                <w:bCs/>
                <w:sz w:val="18"/>
                <w:szCs w:val="18"/>
              </w:rPr>
              <w:t>Stock Awards</w:t>
            </w:r>
          </w:p>
        </w:tc>
      </w:tr>
      <w:tr w:rsidR="003B1DDB" w14:paraId="419FE1FE" w14:textId="77777777" w:rsidTr="003B1DDB">
        <w:trPr>
          <w:cantSplit/>
          <w:tblHeader/>
        </w:trPr>
        <w:tc>
          <w:tcPr>
            <w:tcW w:w="2192" w:type="dxa"/>
            <w:vMerge/>
            <w:tcBorders>
              <w:bottom w:val="single" w:sz="8" w:space="0" w:color="000000"/>
            </w:tcBorders>
            <w:vAlign w:val="bottom"/>
            <w:hideMark/>
          </w:tcPr>
          <w:p w14:paraId="5DDEC83E" w14:textId="2426EF3C" w:rsidR="003B1DDB" w:rsidRPr="00306F7C" w:rsidRDefault="003B1DDB" w:rsidP="00D87FF2">
            <w:pPr>
              <w:pStyle w:val="NormalWeb"/>
              <w:keepNext/>
              <w:spacing w:before="0" w:beforeAutospacing="0" w:after="0" w:afterAutospacing="0"/>
              <w:ind w:firstLine="106"/>
              <w:rPr>
                <w:rFonts w:ascii="Arial" w:hAnsi="Arial" w:cs="Arial"/>
                <w:sz w:val="18"/>
                <w:szCs w:val="18"/>
              </w:rPr>
            </w:pPr>
          </w:p>
        </w:tc>
        <w:tc>
          <w:tcPr>
            <w:tcW w:w="840" w:type="dxa"/>
            <w:tcBorders>
              <w:bottom w:val="single" w:sz="8" w:space="0" w:color="000000"/>
            </w:tcBorders>
            <w:noWrap/>
            <w:tcMar>
              <w:top w:w="0" w:type="dxa"/>
              <w:left w:w="144" w:type="dxa"/>
              <w:bottom w:w="0" w:type="dxa"/>
              <w:right w:w="0" w:type="dxa"/>
            </w:tcMar>
            <w:vAlign w:val="bottom"/>
            <w:hideMark/>
          </w:tcPr>
          <w:p w14:paraId="46B4E52A" w14:textId="77777777" w:rsidR="003B1DDB" w:rsidRDefault="003B1DDB" w:rsidP="00D87FF2">
            <w:pPr>
              <w:rPr>
                <w:rFonts w:ascii="Arial" w:hAnsi="Arial" w:cs="Arial"/>
                <w:sz w:val="18"/>
                <w:szCs w:val="18"/>
              </w:rPr>
            </w:pPr>
            <w:r>
              <w:rPr>
                <w:rFonts w:ascii="Arial" w:hAnsi="Arial" w:cs="Arial"/>
                <w:b/>
                <w:bCs/>
                <w:sz w:val="18"/>
                <w:szCs w:val="18"/>
              </w:rPr>
              <w:t xml:space="preserve">Award </w:t>
            </w:r>
            <w:r>
              <w:rPr>
                <w:rFonts w:ascii="Arial" w:hAnsi="Arial" w:cs="Arial"/>
                <w:b/>
                <w:bCs/>
                <w:sz w:val="18"/>
                <w:szCs w:val="18"/>
              </w:rPr>
              <w:br/>
              <w:t>Date</w:t>
            </w:r>
          </w:p>
        </w:tc>
        <w:tc>
          <w:tcPr>
            <w:tcW w:w="1716" w:type="dxa"/>
            <w:tcBorders>
              <w:bottom w:val="single" w:sz="8" w:space="0" w:color="000000"/>
            </w:tcBorders>
            <w:noWrap/>
            <w:tcMar>
              <w:top w:w="0" w:type="dxa"/>
              <w:left w:w="144" w:type="dxa"/>
              <w:bottom w:w="0" w:type="dxa"/>
              <w:right w:w="0" w:type="dxa"/>
            </w:tcMar>
            <w:vAlign w:val="bottom"/>
            <w:hideMark/>
          </w:tcPr>
          <w:p w14:paraId="24C852A7" w14:textId="77777777" w:rsidR="003B1DDB" w:rsidRPr="00306F7C" w:rsidRDefault="003B1DDB"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Number of</w:t>
            </w:r>
            <w:r>
              <w:rPr>
                <w:rFonts w:ascii="Arial" w:hAnsi="Arial" w:cs="Arial"/>
                <w:b/>
                <w:bCs/>
                <w:sz w:val="18"/>
                <w:szCs w:val="18"/>
              </w:rPr>
              <w:br/>
              <w:t>Shares or Units</w:t>
            </w:r>
            <w:r>
              <w:rPr>
                <w:rFonts w:ascii="Arial" w:hAnsi="Arial" w:cs="Arial"/>
                <w:b/>
                <w:bCs/>
                <w:sz w:val="18"/>
                <w:szCs w:val="18"/>
              </w:rPr>
              <w:br/>
              <w:t>of Stock That</w:t>
            </w:r>
            <w:r>
              <w:rPr>
                <w:rFonts w:ascii="Arial" w:hAnsi="Arial" w:cs="Arial"/>
                <w:b/>
                <w:bCs/>
                <w:sz w:val="18"/>
                <w:szCs w:val="18"/>
              </w:rPr>
              <w:br/>
              <w:t>Have Not</w:t>
            </w:r>
            <w:r>
              <w:rPr>
                <w:rFonts w:ascii="Arial" w:hAnsi="Arial" w:cs="Arial"/>
                <w:b/>
                <w:bCs/>
                <w:sz w:val="18"/>
                <w:szCs w:val="18"/>
              </w:rPr>
              <w:br/>
              <w:t>Vested</w:t>
            </w:r>
            <w:r>
              <w:rPr>
                <w:rFonts w:ascii="Arial" w:hAnsi="Arial" w:cs="Arial"/>
                <w:b/>
                <w:bCs/>
                <w:sz w:val="14"/>
                <w:szCs w:val="14"/>
                <w:vertAlign w:val="superscript"/>
              </w:rPr>
              <w:t>1</w:t>
            </w:r>
          </w:p>
          <w:p w14:paraId="341794B4" w14:textId="77777777" w:rsidR="003B1DDB" w:rsidRDefault="003B1DDB"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1664" w:type="dxa"/>
            <w:tcBorders>
              <w:bottom w:val="single" w:sz="8" w:space="0" w:color="000000"/>
            </w:tcBorders>
            <w:noWrap/>
            <w:tcMar>
              <w:top w:w="0" w:type="dxa"/>
              <w:left w:w="144" w:type="dxa"/>
              <w:bottom w:w="0" w:type="dxa"/>
              <w:right w:w="0" w:type="dxa"/>
            </w:tcMar>
            <w:vAlign w:val="bottom"/>
            <w:hideMark/>
          </w:tcPr>
          <w:p w14:paraId="07B09489" w14:textId="77777777" w:rsidR="003B1DDB" w:rsidRDefault="003B1DDB"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Market Value</w:t>
            </w:r>
            <w:r>
              <w:rPr>
                <w:rFonts w:ascii="Arial" w:hAnsi="Arial" w:cs="Arial"/>
                <w:b/>
                <w:bCs/>
                <w:sz w:val="18"/>
                <w:szCs w:val="18"/>
              </w:rPr>
              <w:br/>
              <w:t>of Shares or</w:t>
            </w:r>
            <w:r>
              <w:rPr>
                <w:rFonts w:ascii="Arial" w:hAnsi="Arial" w:cs="Arial"/>
                <w:b/>
                <w:bCs/>
                <w:sz w:val="18"/>
                <w:szCs w:val="18"/>
              </w:rPr>
              <w:br/>
              <w:t>Units of Stock</w:t>
            </w:r>
            <w:r>
              <w:rPr>
                <w:rFonts w:ascii="Arial" w:hAnsi="Arial" w:cs="Arial"/>
                <w:b/>
                <w:bCs/>
                <w:sz w:val="18"/>
                <w:szCs w:val="18"/>
              </w:rPr>
              <w:br/>
              <w:t>That Have</w:t>
            </w:r>
            <w:r>
              <w:rPr>
                <w:rFonts w:ascii="Arial" w:hAnsi="Arial" w:cs="Arial"/>
                <w:b/>
                <w:bCs/>
                <w:sz w:val="18"/>
                <w:szCs w:val="18"/>
              </w:rPr>
              <w:br/>
              <w:t>Not Vested</w:t>
            </w:r>
            <w:r>
              <w:rPr>
                <w:rFonts w:ascii="Arial" w:hAnsi="Arial" w:cs="Arial"/>
                <w:b/>
                <w:bCs/>
                <w:sz w:val="14"/>
                <w:szCs w:val="14"/>
                <w:vertAlign w:val="superscript"/>
              </w:rPr>
              <w:t>2</w:t>
            </w:r>
          </w:p>
          <w:p w14:paraId="1C3F08C4" w14:textId="77777777" w:rsidR="003B1DDB" w:rsidRDefault="003B1DDB"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2264" w:type="dxa"/>
            <w:tcBorders>
              <w:bottom w:val="single" w:sz="8" w:space="0" w:color="000000"/>
            </w:tcBorders>
            <w:noWrap/>
            <w:tcMar>
              <w:top w:w="0" w:type="dxa"/>
              <w:left w:w="144" w:type="dxa"/>
              <w:bottom w:w="0" w:type="dxa"/>
              <w:right w:w="0" w:type="dxa"/>
            </w:tcMar>
            <w:vAlign w:val="bottom"/>
            <w:hideMark/>
          </w:tcPr>
          <w:p w14:paraId="393FF523" w14:textId="77777777" w:rsidR="003B1DDB" w:rsidRDefault="003B1DDB"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Equity Incentive Plan</w:t>
            </w:r>
            <w:r>
              <w:rPr>
                <w:rFonts w:ascii="Arial" w:hAnsi="Arial" w:cs="Arial"/>
                <w:b/>
                <w:bCs/>
                <w:sz w:val="18"/>
                <w:szCs w:val="18"/>
              </w:rPr>
              <w:br/>
              <w:t>Awards:</w:t>
            </w:r>
            <w:r>
              <w:rPr>
                <w:rFonts w:ascii="Arial" w:hAnsi="Arial" w:cs="Arial"/>
                <w:b/>
                <w:bCs/>
                <w:sz w:val="18"/>
                <w:szCs w:val="18"/>
              </w:rPr>
              <w:br/>
              <w:t>Number of Unearned</w:t>
            </w:r>
            <w:r>
              <w:rPr>
                <w:rFonts w:ascii="Arial" w:hAnsi="Arial" w:cs="Arial"/>
                <w:b/>
                <w:bCs/>
                <w:sz w:val="18"/>
                <w:szCs w:val="18"/>
              </w:rPr>
              <w:br/>
              <w:t>Shares, Units or</w:t>
            </w:r>
            <w:r>
              <w:rPr>
                <w:rFonts w:ascii="Arial" w:hAnsi="Arial" w:cs="Arial"/>
                <w:b/>
                <w:bCs/>
                <w:sz w:val="18"/>
                <w:szCs w:val="18"/>
              </w:rPr>
              <w:br/>
              <w:t>Other Rights That</w:t>
            </w:r>
            <w:r>
              <w:rPr>
                <w:rFonts w:ascii="Arial" w:hAnsi="Arial" w:cs="Arial"/>
                <w:b/>
                <w:bCs/>
                <w:sz w:val="18"/>
                <w:szCs w:val="18"/>
              </w:rPr>
              <w:br/>
              <w:t>Have Not Vested</w:t>
            </w:r>
            <w:r>
              <w:rPr>
                <w:rFonts w:ascii="Arial" w:hAnsi="Arial" w:cs="Arial"/>
                <w:b/>
                <w:bCs/>
                <w:sz w:val="14"/>
                <w:szCs w:val="14"/>
                <w:vertAlign w:val="superscript"/>
              </w:rPr>
              <w:t>3</w:t>
            </w:r>
          </w:p>
          <w:p w14:paraId="65AC0073" w14:textId="77777777" w:rsidR="003B1DDB" w:rsidRDefault="003B1DDB"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2124" w:type="dxa"/>
            <w:tcBorders>
              <w:bottom w:val="single" w:sz="8" w:space="0" w:color="000000"/>
            </w:tcBorders>
            <w:noWrap/>
            <w:tcMar>
              <w:top w:w="0" w:type="dxa"/>
              <w:left w:w="144" w:type="dxa"/>
              <w:bottom w:w="0" w:type="dxa"/>
              <w:right w:w="0" w:type="dxa"/>
            </w:tcMar>
            <w:vAlign w:val="bottom"/>
            <w:hideMark/>
          </w:tcPr>
          <w:p w14:paraId="129A3996" w14:textId="77777777" w:rsidR="003B1DDB" w:rsidRDefault="003B1DDB" w:rsidP="00D87FF2">
            <w:pPr>
              <w:jc w:val="right"/>
              <w:rPr>
                <w:rFonts w:ascii="Arial" w:hAnsi="Arial" w:cs="Arial"/>
                <w:sz w:val="18"/>
                <w:szCs w:val="18"/>
              </w:rPr>
            </w:pPr>
            <w:r>
              <w:rPr>
                <w:rFonts w:ascii="Arial" w:hAnsi="Arial" w:cs="Arial"/>
                <w:b/>
                <w:bCs/>
                <w:sz w:val="18"/>
                <w:szCs w:val="18"/>
              </w:rPr>
              <w:t>Equity Incentive</w:t>
            </w:r>
            <w:r>
              <w:rPr>
                <w:rFonts w:ascii="Arial" w:hAnsi="Arial" w:cs="Arial"/>
                <w:b/>
                <w:bCs/>
                <w:sz w:val="18"/>
                <w:szCs w:val="18"/>
              </w:rPr>
              <w:br/>
              <w:t>Plan Awards:</w:t>
            </w:r>
            <w:r>
              <w:rPr>
                <w:rFonts w:ascii="Arial" w:hAnsi="Arial" w:cs="Arial"/>
                <w:b/>
                <w:bCs/>
                <w:sz w:val="18"/>
                <w:szCs w:val="18"/>
              </w:rPr>
              <w:br/>
              <w:t>Market or Payout</w:t>
            </w:r>
            <w:r>
              <w:rPr>
                <w:rFonts w:ascii="Arial" w:hAnsi="Arial" w:cs="Arial"/>
                <w:b/>
                <w:bCs/>
                <w:sz w:val="18"/>
                <w:szCs w:val="18"/>
              </w:rPr>
              <w:br/>
              <w:t>Value of Unearned</w:t>
            </w:r>
            <w:r>
              <w:rPr>
                <w:rFonts w:ascii="Arial" w:hAnsi="Arial" w:cs="Arial"/>
                <w:b/>
                <w:bCs/>
                <w:sz w:val="18"/>
                <w:szCs w:val="18"/>
              </w:rPr>
              <w:br/>
              <w:t>Shares, Units, or</w:t>
            </w:r>
            <w:r>
              <w:rPr>
                <w:rFonts w:ascii="Arial" w:hAnsi="Arial" w:cs="Arial"/>
                <w:b/>
                <w:bCs/>
                <w:sz w:val="18"/>
                <w:szCs w:val="18"/>
              </w:rPr>
              <w:br/>
              <w:t>Other Rights That</w:t>
            </w:r>
            <w:r>
              <w:rPr>
                <w:rFonts w:ascii="Arial" w:hAnsi="Arial" w:cs="Arial"/>
                <w:b/>
                <w:bCs/>
                <w:sz w:val="18"/>
                <w:szCs w:val="18"/>
              </w:rPr>
              <w:br/>
              <w:t>Have Not Vested</w:t>
            </w:r>
            <w:r>
              <w:rPr>
                <w:rFonts w:ascii="Arial" w:hAnsi="Arial" w:cs="Arial"/>
                <w:b/>
                <w:bCs/>
                <w:sz w:val="14"/>
                <w:szCs w:val="14"/>
                <w:vertAlign w:val="superscript"/>
              </w:rPr>
              <w:t>2</w:t>
            </w:r>
            <w:r>
              <w:rPr>
                <w:rFonts w:ascii="Arial" w:hAnsi="Arial" w:cs="Arial"/>
                <w:b/>
                <w:bCs/>
                <w:sz w:val="18"/>
                <w:szCs w:val="18"/>
              </w:rPr>
              <w:br/>
              <w:t>($)</w:t>
            </w:r>
          </w:p>
        </w:tc>
      </w:tr>
      <w:tr w:rsidR="003B1DDB" w14:paraId="2A97814E" w14:textId="77777777" w:rsidTr="003B1DDB">
        <w:trPr>
          <w:cantSplit/>
        </w:trPr>
        <w:tc>
          <w:tcPr>
            <w:tcW w:w="2192" w:type="dxa"/>
            <w:vMerge w:val="restart"/>
            <w:tcMar>
              <w:top w:w="0" w:type="dxa"/>
              <w:left w:w="0" w:type="dxa"/>
              <w:bottom w:w="40" w:type="dxa"/>
              <w:right w:w="0" w:type="dxa"/>
            </w:tcMar>
            <w:hideMark/>
          </w:tcPr>
          <w:p w14:paraId="36D8C925" w14:textId="77777777" w:rsidR="003B1DDB" w:rsidRPr="00306F7C" w:rsidRDefault="003B1DDB" w:rsidP="003B1DDB">
            <w:pPr>
              <w:pStyle w:val="NormalWeb"/>
              <w:keepNext/>
              <w:spacing w:before="0" w:beforeAutospacing="0" w:after="0" w:afterAutospacing="0"/>
              <w:ind w:left="360" w:hanging="240"/>
              <w:rPr>
                <w:rFonts w:ascii="Arial" w:hAnsi="Arial" w:cs="Arial"/>
                <w:sz w:val="16"/>
                <w:szCs w:val="16"/>
              </w:rPr>
            </w:pPr>
            <w:r>
              <w:rPr>
                <w:rFonts w:ascii="Arial" w:hAnsi="Arial" w:cs="Arial"/>
                <w:b/>
                <w:bCs/>
                <w:color w:val="0075C9"/>
                <w:sz w:val="16"/>
                <w:szCs w:val="16"/>
              </w:rPr>
              <w:t>Satya Nadella</w:t>
            </w:r>
          </w:p>
          <w:p w14:paraId="35A95BD2"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3D3456CA"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1BF25282"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3A5417E0"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4724AD43"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553AEE64" w14:textId="6517C8B7" w:rsidR="003B1DDB" w:rsidRPr="00306F7C" w:rsidRDefault="003B1DDB" w:rsidP="003B1DDB">
            <w:pPr>
              <w:pStyle w:val="NormalWeb"/>
              <w:spacing w:before="0" w:after="0"/>
              <w:rPr>
                <w:rFonts w:ascii="Arial" w:hAnsi="Arial" w:cs="Arial"/>
                <w:sz w:val="16"/>
                <w:szCs w:val="16"/>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50D84892"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9/18/2019</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1464E581"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11,334</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7DC53EE1"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3,859,680</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130A46B6" w14:textId="2D0D821C"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0C476918" w14:textId="3320D3BE"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0BFC873D" w14:textId="77777777" w:rsidTr="003B1DDB">
        <w:trPr>
          <w:cantSplit/>
        </w:trPr>
        <w:tc>
          <w:tcPr>
            <w:tcW w:w="2192" w:type="dxa"/>
            <w:vMerge/>
            <w:tcMar>
              <w:top w:w="0" w:type="dxa"/>
              <w:left w:w="144" w:type="dxa"/>
              <w:bottom w:w="0" w:type="dxa"/>
              <w:right w:w="0" w:type="dxa"/>
            </w:tcMar>
            <w:hideMark/>
          </w:tcPr>
          <w:p w14:paraId="6785044D" w14:textId="3B8D4D3C"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7502EEA9"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9/15/2020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0C8AD0CB"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12,471</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4478B7EA"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4,246,874</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66346060" w14:textId="7A452B09"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026230F3" w14:textId="0D67E868"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2B5DD2D3" w14:textId="77777777" w:rsidTr="003B1DDB">
        <w:trPr>
          <w:cantSplit/>
        </w:trPr>
        <w:tc>
          <w:tcPr>
            <w:tcW w:w="2192" w:type="dxa"/>
            <w:vMerge/>
            <w:tcMar>
              <w:top w:w="0" w:type="dxa"/>
              <w:left w:w="144" w:type="dxa"/>
              <w:bottom w:w="0" w:type="dxa"/>
              <w:right w:w="0" w:type="dxa"/>
            </w:tcMar>
            <w:hideMark/>
          </w:tcPr>
          <w:p w14:paraId="454A086D" w14:textId="5F506EB6"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443225C0"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9/15/2020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52DEFCA8"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113,227</w:t>
            </w:r>
            <w:r>
              <w:rPr>
                <w:rFonts w:ascii="Arial" w:hAnsi="Arial" w:cs="Arial"/>
                <w:sz w:val="12"/>
                <w:szCs w:val="12"/>
                <w:vertAlign w:val="superscript"/>
              </w:rPr>
              <w:tab/>
              <w:t>4</w:t>
            </w:r>
          </w:p>
        </w:tc>
        <w:tc>
          <w:tcPr>
            <w:tcW w:w="1664" w:type="dxa"/>
            <w:tcBorders>
              <w:bottom w:val="single" w:sz="6" w:space="0" w:color="595959"/>
            </w:tcBorders>
            <w:noWrap/>
            <w:tcMar>
              <w:top w:w="0" w:type="dxa"/>
              <w:left w:w="144" w:type="dxa"/>
              <w:bottom w:w="0" w:type="dxa"/>
              <w:right w:w="0" w:type="dxa"/>
            </w:tcMar>
            <w:vAlign w:val="bottom"/>
            <w:hideMark/>
          </w:tcPr>
          <w:p w14:paraId="4F8FA4ED"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38,558,323</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54B70784" w14:textId="4A90E152"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0CA8309E" w14:textId="664BA317"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0C431EB2" w14:textId="77777777" w:rsidTr="003B1DDB">
        <w:trPr>
          <w:cantSplit/>
        </w:trPr>
        <w:tc>
          <w:tcPr>
            <w:tcW w:w="2192" w:type="dxa"/>
            <w:vMerge/>
            <w:tcMar>
              <w:top w:w="0" w:type="dxa"/>
              <w:left w:w="144" w:type="dxa"/>
              <w:bottom w:w="0" w:type="dxa"/>
              <w:right w:w="0" w:type="dxa"/>
            </w:tcMar>
            <w:hideMark/>
          </w:tcPr>
          <w:p w14:paraId="3ED23DFC" w14:textId="5B2EB1FB" w:rsidR="003B1DDB" w:rsidRDefault="003B1DDB" w:rsidP="003B1DDB">
            <w:pPr>
              <w:pStyle w:val="NormalWeb"/>
              <w:spacing w:before="0" w:beforeAutospacing="0" w:after="0" w:afterAutospacing="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22A0BB26"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9/14/2021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0B38690A" w14:textId="15133B14"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1664" w:type="dxa"/>
            <w:tcBorders>
              <w:bottom w:val="single" w:sz="6" w:space="0" w:color="595959"/>
            </w:tcBorders>
            <w:noWrap/>
            <w:tcMar>
              <w:top w:w="0" w:type="dxa"/>
              <w:left w:w="144" w:type="dxa"/>
              <w:bottom w:w="0" w:type="dxa"/>
              <w:right w:w="0" w:type="dxa"/>
            </w:tcMar>
            <w:vAlign w:val="bottom"/>
            <w:hideMark/>
          </w:tcPr>
          <w:p w14:paraId="0E225C02" w14:textId="6ECB5D10"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264" w:type="dxa"/>
            <w:tcBorders>
              <w:bottom w:val="single" w:sz="6" w:space="0" w:color="595959"/>
            </w:tcBorders>
            <w:noWrap/>
            <w:tcMar>
              <w:top w:w="0" w:type="dxa"/>
              <w:left w:w="144" w:type="dxa"/>
              <w:bottom w:w="0" w:type="dxa"/>
              <w:right w:w="0" w:type="dxa"/>
            </w:tcMar>
            <w:vAlign w:val="bottom"/>
            <w:hideMark/>
          </w:tcPr>
          <w:p w14:paraId="5730751E" w14:textId="77777777" w:rsidR="003B1DDB" w:rsidRPr="00306F7C" w:rsidRDefault="003B1DDB" w:rsidP="003B1DDB">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331,260</w:t>
            </w:r>
            <w:r>
              <w:rPr>
                <w:rFonts w:ascii="Arial" w:hAnsi="Arial" w:cs="Arial"/>
                <w:sz w:val="16"/>
                <w:szCs w:val="16"/>
              </w:rPr>
              <w:tab/>
            </w:r>
          </w:p>
        </w:tc>
        <w:tc>
          <w:tcPr>
            <w:tcW w:w="2124" w:type="dxa"/>
            <w:tcBorders>
              <w:bottom w:val="single" w:sz="6" w:space="0" w:color="595959"/>
            </w:tcBorders>
            <w:noWrap/>
            <w:tcMar>
              <w:top w:w="0" w:type="dxa"/>
              <w:left w:w="144" w:type="dxa"/>
              <w:bottom w:w="0" w:type="dxa"/>
              <w:right w:w="0" w:type="dxa"/>
            </w:tcMar>
            <w:vAlign w:val="bottom"/>
            <w:hideMark/>
          </w:tcPr>
          <w:p w14:paraId="7909E92B" w14:textId="77777777" w:rsidR="003B1DDB" w:rsidRDefault="003B1DDB" w:rsidP="003B1DDB">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112,807,280</w:t>
            </w:r>
            <w:r>
              <w:rPr>
                <w:rFonts w:ascii="Arial" w:hAnsi="Arial" w:cs="Arial"/>
                <w:sz w:val="16"/>
                <w:szCs w:val="16"/>
              </w:rPr>
              <w:tab/>
            </w:r>
          </w:p>
        </w:tc>
      </w:tr>
      <w:tr w:rsidR="003B1DDB" w14:paraId="15A72E70" w14:textId="77777777" w:rsidTr="003B1DDB">
        <w:trPr>
          <w:cantSplit/>
        </w:trPr>
        <w:tc>
          <w:tcPr>
            <w:tcW w:w="2192" w:type="dxa"/>
            <w:vMerge/>
            <w:tcBorders>
              <w:bottom w:val="single" w:sz="6" w:space="0" w:color="0075C9"/>
            </w:tcBorders>
            <w:tcMar>
              <w:top w:w="0" w:type="dxa"/>
              <w:left w:w="0" w:type="dxa"/>
              <w:bottom w:w="40" w:type="dxa"/>
              <w:right w:w="0" w:type="dxa"/>
            </w:tcMar>
            <w:hideMark/>
          </w:tcPr>
          <w:p w14:paraId="39F367E5" w14:textId="77777777" w:rsidR="003B1DDB" w:rsidRDefault="003B1DDB" w:rsidP="003B1DDB">
            <w:pPr>
              <w:rPr>
                <w:rFonts w:ascii="Arial" w:hAnsi="Arial" w:cs="Arial"/>
                <w:sz w:val="2"/>
                <w:szCs w:val="2"/>
              </w:rPr>
            </w:pPr>
          </w:p>
        </w:tc>
        <w:tc>
          <w:tcPr>
            <w:tcW w:w="840" w:type="dxa"/>
            <w:tcBorders>
              <w:bottom w:val="single" w:sz="6" w:space="0" w:color="0075C9"/>
            </w:tcBorders>
            <w:tcMar>
              <w:top w:w="0" w:type="dxa"/>
              <w:left w:w="0" w:type="dxa"/>
              <w:bottom w:w="40" w:type="dxa"/>
              <w:right w:w="0" w:type="dxa"/>
            </w:tcMar>
            <w:vAlign w:val="bottom"/>
            <w:hideMark/>
          </w:tcPr>
          <w:p w14:paraId="49E59F9F" w14:textId="77777777" w:rsidR="003B1DDB" w:rsidRPr="00306F7C"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0075C9"/>
            </w:tcBorders>
            <w:noWrap/>
            <w:tcMar>
              <w:top w:w="0" w:type="dxa"/>
              <w:left w:w="144" w:type="dxa"/>
              <w:bottom w:w="0" w:type="dxa"/>
              <w:right w:w="0" w:type="dxa"/>
            </w:tcMar>
            <w:vAlign w:val="bottom"/>
            <w:hideMark/>
          </w:tcPr>
          <w:p w14:paraId="09297207" w14:textId="6BD896DD"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1664" w:type="dxa"/>
            <w:tcBorders>
              <w:bottom w:val="single" w:sz="6" w:space="0" w:color="0075C9"/>
            </w:tcBorders>
            <w:noWrap/>
            <w:tcMar>
              <w:top w:w="0" w:type="dxa"/>
              <w:left w:w="144" w:type="dxa"/>
              <w:bottom w:w="0" w:type="dxa"/>
              <w:right w:w="0" w:type="dxa"/>
            </w:tcMar>
            <w:vAlign w:val="bottom"/>
            <w:hideMark/>
          </w:tcPr>
          <w:p w14:paraId="1608332A" w14:textId="0ABE1F49"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264" w:type="dxa"/>
            <w:tcBorders>
              <w:bottom w:val="single" w:sz="6" w:space="0" w:color="0075C9"/>
            </w:tcBorders>
            <w:noWrap/>
            <w:tcMar>
              <w:top w:w="0" w:type="dxa"/>
              <w:left w:w="144" w:type="dxa"/>
              <w:bottom w:w="0" w:type="dxa"/>
              <w:right w:w="0" w:type="dxa"/>
            </w:tcMar>
            <w:vAlign w:val="bottom"/>
            <w:hideMark/>
          </w:tcPr>
          <w:p w14:paraId="539F83B6" w14:textId="77777777" w:rsidR="003B1DDB" w:rsidRPr="00306F7C" w:rsidRDefault="003B1DDB" w:rsidP="003B1DDB">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191,226</w:t>
            </w:r>
            <w:r>
              <w:rPr>
                <w:rFonts w:ascii="Arial" w:hAnsi="Arial" w:cs="Arial"/>
                <w:sz w:val="16"/>
                <w:szCs w:val="16"/>
              </w:rPr>
              <w:tab/>
            </w:r>
          </w:p>
        </w:tc>
        <w:tc>
          <w:tcPr>
            <w:tcW w:w="2124" w:type="dxa"/>
            <w:tcBorders>
              <w:bottom w:val="single" w:sz="6" w:space="0" w:color="0075C9"/>
            </w:tcBorders>
            <w:noWrap/>
            <w:tcMar>
              <w:top w:w="0" w:type="dxa"/>
              <w:left w:w="144" w:type="dxa"/>
              <w:bottom w:w="0" w:type="dxa"/>
              <w:right w:w="0" w:type="dxa"/>
            </w:tcMar>
            <w:vAlign w:val="bottom"/>
            <w:hideMark/>
          </w:tcPr>
          <w:p w14:paraId="298CB276" w14:textId="77777777" w:rsidR="003B1DDB" w:rsidRDefault="003B1DDB" w:rsidP="003B1DDB">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65,120,102</w:t>
            </w:r>
            <w:r>
              <w:rPr>
                <w:rFonts w:ascii="Arial" w:hAnsi="Arial" w:cs="Arial"/>
                <w:sz w:val="16"/>
                <w:szCs w:val="16"/>
              </w:rPr>
              <w:tab/>
            </w:r>
          </w:p>
        </w:tc>
      </w:tr>
      <w:tr w:rsidR="003B1DDB" w14:paraId="5FC7F8DB" w14:textId="77777777" w:rsidTr="003B1DDB">
        <w:trPr>
          <w:cantSplit/>
        </w:trPr>
        <w:tc>
          <w:tcPr>
            <w:tcW w:w="2192" w:type="dxa"/>
            <w:vMerge w:val="restart"/>
            <w:tcMar>
              <w:top w:w="0" w:type="dxa"/>
              <w:left w:w="0" w:type="dxa"/>
              <w:bottom w:w="40" w:type="dxa"/>
              <w:right w:w="0" w:type="dxa"/>
            </w:tcMar>
            <w:hideMark/>
          </w:tcPr>
          <w:p w14:paraId="63070C28" w14:textId="77777777" w:rsidR="003B1DDB" w:rsidRPr="00306F7C" w:rsidRDefault="003B1DDB" w:rsidP="003B1DDB">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Amy E. Hood</w:t>
            </w:r>
          </w:p>
          <w:p w14:paraId="206A4143"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27565BF1"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3711F3A9"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46BD5C55"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698BFCB9"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3A6B28DD"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3C0B7017"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1DD7F8FA"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01774167"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44D695ED" w14:textId="5714B0D5" w:rsidR="003B1DDB" w:rsidRPr="00306F7C" w:rsidRDefault="003B1DDB" w:rsidP="003B1DDB">
            <w:pPr>
              <w:pStyle w:val="NormalWeb"/>
              <w:spacing w:before="0" w:after="0"/>
              <w:rPr>
                <w:rFonts w:ascii="Arial" w:hAnsi="Arial" w:cs="Arial"/>
                <w:sz w:val="16"/>
                <w:szCs w:val="16"/>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77428A79"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9/18/2019</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4EC73AF1"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5,078</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4C2D1A79"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1,729,262</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795D7583" w14:textId="0F1ACCA8"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11720F77" w14:textId="367FF15E"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249FB90F" w14:textId="77777777" w:rsidTr="003B1DDB">
        <w:trPr>
          <w:cantSplit/>
        </w:trPr>
        <w:tc>
          <w:tcPr>
            <w:tcW w:w="2192" w:type="dxa"/>
            <w:vMerge/>
            <w:tcMar>
              <w:top w:w="0" w:type="dxa"/>
              <w:left w:w="144" w:type="dxa"/>
              <w:bottom w:w="0" w:type="dxa"/>
              <w:right w:w="0" w:type="dxa"/>
            </w:tcMar>
            <w:hideMark/>
          </w:tcPr>
          <w:p w14:paraId="431E59FD" w14:textId="751C8AD5"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7E6F20D7"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9/14/2020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084BC175"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12,056</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5D4967F7"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4,105,550</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64264CFD" w14:textId="122A10E4"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2C647315" w14:textId="655B7711"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4D3E6E66" w14:textId="77777777" w:rsidTr="003B1DDB">
        <w:trPr>
          <w:cantSplit/>
        </w:trPr>
        <w:tc>
          <w:tcPr>
            <w:tcW w:w="2192" w:type="dxa"/>
            <w:vMerge/>
            <w:tcMar>
              <w:top w:w="0" w:type="dxa"/>
              <w:left w:w="144" w:type="dxa"/>
              <w:bottom w:w="0" w:type="dxa"/>
              <w:right w:w="0" w:type="dxa"/>
            </w:tcMar>
            <w:hideMark/>
          </w:tcPr>
          <w:p w14:paraId="77BDD45F" w14:textId="707ABF8A"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48893553"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9/14/2020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52CF91E2"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46,909</w:t>
            </w:r>
            <w:r>
              <w:rPr>
                <w:rFonts w:ascii="Arial" w:hAnsi="Arial" w:cs="Arial"/>
                <w:sz w:val="12"/>
                <w:szCs w:val="12"/>
                <w:vertAlign w:val="superscript"/>
              </w:rPr>
              <w:tab/>
              <w:t>4</w:t>
            </w:r>
          </w:p>
        </w:tc>
        <w:tc>
          <w:tcPr>
            <w:tcW w:w="1664" w:type="dxa"/>
            <w:tcBorders>
              <w:bottom w:val="single" w:sz="6" w:space="0" w:color="595959"/>
            </w:tcBorders>
            <w:noWrap/>
            <w:tcMar>
              <w:top w:w="0" w:type="dxa"/>
              <w:left w:w="144" w:type="dxa"/>
              <w:bottom w:w="0" w:type="dxa"/>
              <w:right w:w="0" w:type="dxa"/>
            </w:tcMar>
            <w:vAlign w:val="bottom"/>
            <w:hideMark/>
          </w:tcPr>
          <w:p w14:paraId="001C780D"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15,974,391</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5F36423E" w14:textId="72D6B5B8"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3F983538" w14:textId="00F3B1CE"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5A2911C1" w14:textId="77777777" w:rsidTr="003B1DDB">
        <w:trPr>
          <w:cantSplit/>
        </w:trPr>
        <w:tc>
          <w:tcPr>
            <w:tcW w:w="2192" w:type="dxa"/>
            <w:vMerge/>
            <w:tcMar>
              <w:top w:w="0" w:type="dxa"/>
              <w:left w:w="144" w:type="dxa"/>
              <w:bottom w:w="0" w:type="dxa"/>
              <w:right w:w="0" w:type="dxa"/>
            </w:tcMar>
            <w:hideMark/>
          </w:tcPr>
          <w:p w14:paraId="35936F45" w14:textId="49E8D444"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74207DAF"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1D8297B1"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18,117</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3602112E"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6,169,563</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0859EE2D" w14:textId="32064B35"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7D12ED5D" w14:textId="1FF8CB29"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0463961A" w14:textId="77777777" w:rsidTr="003B1DDB">
        <w:trPr>
          <w:cantSplit/>
        </w:trPr>
        <w:tc>
          <w:tcPr>
            <w:tcW w:w="2192" w:type="dxa"/>
            <w:vMerge/>
            <w:tcMar>
              <w:top w:w="0" w:type="dxa"/>
              <w:left w:w="144" w:type="dxa"/>
              <w:bottom w:w="0" w:type="dxa"/>
              <w:right w:w="0" w:type="dxa"/>
            </w:tcMar>
            <w:hideMark/>
          </w:tcPr>
          <w:p w14:paraId="2FC1FE6B" w14:textId="346626DF"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404A2C3B"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788FB9B5" w14:textId="0F2EAF7D"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1664" w:type="dxa"/>
            <w:tcBorders>
              <w:bottom w:val="single" w:sz="6" w:space="0" w:color="595959"/>
            </w:tcBorders>
            <w:noWrap/>
            <w:tcMar>
              <w:top w:w="0" w:type="dxa"/>
              <w:left w:w="144" w:type="dxa"/>
              <w:bottom w:w="0" w:type="dxa"/>
              <w:right w:w="0" w:type="dxa"/>
            </w:tcMar>
            <w:vAlign w:val="bottom"/>
            <w:hideMark/>
          </w:tcPr>
          <w:p w14:paraId="3CD452A2" w14:textId="0D0F112D"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264" w:type="dxa"/>
            <w:tcBorders>
              <w:bottom w:val="single" w:sz="6" w:space="0" w:color="595959"/>
            </w:tcBorders>
            <w:noWrap/>
            <w:tcMar>
              <w:top w:w="0" w:type="dxa"/>
              <w:left w:w="144" w:type="dxa"/>
              <w:bottom w:w="0" w:type="dxa"/>
              <w:right w:w="0" w:type="dxa"/>
            </w:tcMar>
            <w:vAlign w:val="bottom"/>
            <w:hideMark/>
          </w:tcPr>
          <w:p w14:paraId="3872F0B0" w14:textId="77777777" w:rsidR="003B1DDB" w:rsidRPr="00306F7C" w:rsidRDefault="003B1DDB" w:rsidP="003B1DDB">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57,972</w:t>
            </w:r>
            <w:r>
              <w:rPr>
                <w:rFonts w:ascii="Arial" w:hAnsi="Arial" w:cs="Arial"/>
                <w:sz w:val="16"/>
                <w:szCs w:val="16"/>
              </w:rPr>
              <w:tab/>
            </w:r>
          </w:p>
        </w:tc>
        <w:tc>
          <w:tcPr>
            <w:tcW w:w="2124" w:type="dxa"/>
            <w:tcBorders>
              <w:bottom w:val="single" w:sz="6" w:space="0" w:color="595959"/>
            </w:tcBorders>
            <w:noWrap/>
            <w:tcMar>
              <w:top w:w="0" w:type="dxa"/>
              <w:left w:w="144" w:type="dxa"/>
              <w:bottom w:w="0" w:type="dxa"/>
              <w:right w:w="0" w:type="dxa"/>
            </w:tcMar>
            <w:vAlign w:val="bottom"/>
            <w:hideMark/>
          </w:tcPr>
          <w:p w14:paraId="2C884FA1" w14:textId="77777777" w:rsidR="003B1DDB" w:rsidRDefault="003B1DDB" w:rsidP="003B1DDB">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19,741,785</w:t>
            </w:r>
            <w:r>
              <w:rPr>
                <w:rFonts w:ascii="Arial" w:hAnsi="Arial" w:cs="Arial"/>
                <w:sz w:val="16"/>
                <w:szCs w:val="16"/>
              </w:rPr>
              <w:tab/>
            </w:r>
          </w:p>
        </w:tc>
      </w:tr>
      <w:tr w:rsidR="003B1DDB" w14:paraId="7373FA75" w14:textId="77777777" w:rsidTr="003B1DDB">
        <w:trPr>
          <w:cantSplit/>
        </w:trPr>
        <w:tc>
          <w:tcPr>
            <w:tcW w:w="2192" w:type="dxa"/>
            <w:vMerge/>
            <w:tcMar>
              <w:top w:w="0" w:type="dxa"/>
              <w:left w:w="144" w:type="dxa"/>
              <w:bottom w:w="0" w:type="dxa"/>
              <w:right w:w="0" w:type="dxa"/>
            </w:tcMar>
            <w:hideMark/>
          </w:tcPr>
          <w:p w14:paraId="39874BAC" w14:textId="7D5CDCB8" w:rsidR="003B1DDB" w:rsidRDefault="003B1DDB" w:rsidP="003B1DDB">
            <w:pPr>
              <w:pStyle w:val="NormalWeb"/>
              <w:spacing w:before="0" w:beforeAutospacing="0" w:after="0" w:afterAutospacing="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166EDAD5"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35CDCC96"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33,465</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332E5A9A"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11,396,171</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1456A40F" w14:textId="40C6F5AC"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5AE08C52" w14:textId="2BCBA778"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50D256B4" w14:textId="77777777" w:rsidTr="003B1DDB">
        <w:trPr>
          <w:cantSplit/>
        </w:trPr>
        <w:tc>
          <w:tcPr>
            <w:tcW w:w="2192" w:type="dxa"/>
            <w:vMerge/>
            <w:tcBorders>
              <w:bottom w:val="single" w:sz="6" w:space="0" w:color="0075C9"/>
            </w:tcBorders>
            <w:tcMar>
              <w:top w:w="0" w:type="dxa"/>
              <w:left w:w="0" w:type="dxa"/>
              <w:bottom w:w="40" w:type="dxa"/>
              <w:right w:w="0" w:type="dxa"/>
            </w:tcMar>
            <w:hideMark/>
          </w:tcPr>
          <w:p w14:paraId="31B230C9" w14:textId="77777777" w:rsidR="003B1DDB" w:rsidRDefault="003B1DDB" w:rsidP="003B1DDB">
            <w:pPr>
              <w:rPr>
                <w:rFonts w:ascii="Arial" w:hAnsi="Arial" w:cs="Arial"/>
                <w:sz w:val="2"/>
                <w:szCs w:val="2"/>
              </w:rPr>
            </w:pPr>
          </w:p>
        </w:tc>
        <w:tc>
          <w:tcPr>
            <w:tcW w:w="840" w:type="dxa"/>
            <w:tcBorders>
              <w:bottom w:val="single" w:sz="6" w:space="0" w:color="0075C9"/>
            </w:tcBorders>
            <w:tcMar>
              <w:top w:w="0" w:type="dxa"/>
              <w:left w:w="0" w:type="dxa"/>
              <w:bottom w:w="40" w:type="dxa"/>
              <w:right w:w="0" w:type="dxa"/>
            </w:tcMar>
            <w:vAlign w:val="bottom"/>
            <w:hideMark/>
          </w:tcPr>
          <w:p w14:paraId="1C064E69" w14:textId="77777777" w:rsidR="003B1DDB" w:rsidRPr="00306F7C"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0075C9"/>
            </w:tcBorders>
            <w:noWrap/>
            <w:tcMar>
              <w:top w:w="0" w:type="dxa"/>
              <w:left w:w="144" w:type="dxa"/>
              <w:bottom w:w="0" w:type="dxa"/>
              <w:right w:w="0" w:type="dxa"/>
            </w:tcMar>
            <w:vAlign w:val="bottom"/>
            <w:hideMark/>
          </w:tcPr>
          <w:p w14:paraId="38FADF3F" w14:textId="174AC6ED"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1664" w:type="dxa"/>
            <w:tcBorders>
              <w:bottom w:val="single" w:sz="6" w:space="0" w:color="0075C9"/>
            </w:tcBorders>
            <w:noWrap/>
            <w:tcMar>
              <w:top w:w="0" w:type="dxa"/>
              <w:left w:w="144" w:type="dxa"/>
              <w:bottom w:w="0" w:type="dxa"/>
              <w:right w:w="0" w:type="dxa"/>
            </w:tcMar>
            <w:vAlign w:val="bottom"/>
            <w:hideMark/>
          </w:tcPr>
          <w:p w14:paraId="0B534A35" w14:textId="2ABE2E57"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264" w:type="dxa"/>
            <w:tcBorders>
              <w:bottom w:val="single" w:sz="6" w:space="0" w:color="0075C9"/>
            </w:tcBorders>
            <w:noWrap/>
            <w:tcMar>
              <w:top w:w="0" w:type="dxa"/>
              <w:left w:w="144" w:type="dxa"/>
              <w:bottom w:w="0" w:type="dxa"/>
              <w:right w:w="0" w:type="dxa"/>
            </w:tcMar>
            <w:vAlign w:val="bottom"/>
            <w:hideMark/>
          </w:tcPr>
          <w:p w14:paraId="15529053" w14:textId="77777777" w:rsidR="003B1DDB" w:rsidRPr="00306F7C" w:rsidRDefault="003B1DDB" w:rsidP="003B1DDB">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33,465</w:t>
            </w:r>
            <w:r>
              <w:rPr>
                <w:rFonts w:ascii="Arial" w:hAnsi="Arial" w:cs="Arial"/>
                <w:sz w:val="16"/>
                <w:szCs w:val="16"/>
              </w:rPr>
              <w:tab/>
            </w:r>
          </w:p>
        </w:tc>
        <w:tc>
          <w:tcPr>
            <w:tcW w:w="2124" w:type="dxa"/>
            <w:tcBorders>
              <w:bottom w:val="single" w:sz="6" w:space="0" w:color="0075C9"/>
            </w:tcBorders>
            <w:noWrap/>
            <w:tcMar>
              <w:top w:w="0" w:type="dxa"/>
              <w:left w:w="144" w:type="dxa"/>
              <w:bottom w:w="0" w:type="dxa"/>
              <w:right w:w="0" w:type="dxa"/>
            </w:tcMar>
            <w:vAlign w:val="bottom"/>
            <w:hideMark/>
          </w:tcPr>
          <w:p w14:paraId="1B77750E" w14:textId="77777777" w:rsidR="003B1DDB" w:rsidRDefault="003B1DDB" w:rsidP="003B1DDB">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11,396,171</w:t>
            </w:r>
            <w:r>
              <w:rPr>
                <w:rFonts w:ascii="Arial" w:hAnsi="Arial" w:cs="Arial"/>
                <w:sz w:val="16"/>
                <w:szCs w:val="16"/>
              </w:rPr>
              <w:tab/>
            </w:r>
          </w:p>
        </w:tc>
      </w:tr>
      <w:tr w:rsidR="003B1DDB" w14:paraId="10F80A3E" w14:textId="77777777" w:rsidTr="003B1DDB">
        <w:trPr>
          <w:cantSplit/>
        </w:trPr>
        <w:tc>
          <w:tcPr>
            <w:tcW w:w="2192" w:type="dxa"/>
            <w:vMerge w:val="restart"/>
            <w:tcMar>
              <w:top w:w="0" w:type="dxa"/>
              <w:left w:w="0" w:type="dxa"/>
              <w:bottom w:w="40" w:type="dxa"/>
              <w:right w:w="0" w:type="dxa"/>
            </w:tcMar>
            <w:hideMark/>
          </w:tcPr>
          <w:p w14:paraId="03F0CCDC" w14:textId="77777777" w:rsidR="003B1DDB" w:rsidRPr="00306F7C" w:rsidRDefault="003B1DDB" w:rsidP="003B1DDB">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Judson B. Althoff</w:t>
            </w:r>
          </w:p>
          <w:p w14:paraId="47EFCEF7"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55E3B8AA"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1C3030EB"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7FD17511"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21851B3E"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0A72DBFD"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736E30CE"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65533C01"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4531E53A"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3A60DF86" w14:textId="2633CD5F" w:rsidR="003B1DDB" w:rsidRPr="00306F7C" w:rsidRDefault="003B1DDB" w:rsidP="003B1DDB">
            <w:pPr>
              <w:pStyle w:val="NormalWeb"/>
              <w:spacing w:before="0" w:after="0"/>
              <w:rPr>
                <w:rFonts w:ascii="Arial" w:hAnsi="Arial" w:cs="Arial"/>
                <w:sz w:val="16"/>
                <w:szCs w:val="16"/>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316BFD82"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9/3/2019</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16E9384D"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2,970</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0C218DCF"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1,011,404</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7E49FBA3" w14:textId="468DC604"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77479A51" w14:textId="4A04C162"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7CEE587A" w14:textId="77777777" w:rsidTr="003B1DDB">
        <w:trPr>
          <w:cantSplit/>
        </w:trPr>
        <w:tc>
          <w:tcPr>
            <w:tcW w:w="2192" w:type="dxa"/>
            <w:vMerge/>
            <w:tcMar>
              <w:top w:w="0" w:type="dxa"/>
              <w:left w:w="144" w:type="dxa"/>
              <w:bottom w:w="0" w:type="dxa"/>
              <w:right w:w="0" w:type="dxa"/>
            </w:tcMar>
            <w:hideMark/>
          </w:tcPr>
          <w:p w14:paraId="14EB4A08" w14:textId="65DDAADD"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2183C7C9"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9/14/2020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57942A4F"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7,483</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6A27ECB1"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2,548,261</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18B033E5" w14:textId="47F269E9"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3AC399C1" w14:textId="337BA95D"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2DE5920B" w14:textId="77777777" w:rsidTr="003B1DDB">
        <w:trPr>
          <w:cantSplit/>
        </w:trPr>
        <w:tc>
          <w:tcPr>
            <w:tcW w:w="2192" w:type="dxa"/>
            <w:vMerge/>
            <w:tcMar>
              <w:top w:w="0" w:type="dxa"/>
              <w:left w:w="144" w:type="dxa"/>
              <w:bottom w:w="0" w:type="dxa"/>
              <w:right w:w="0" w:type="dxa"/>
            </w:tcMar>
            <w:hideMark/>
          </w:tcPr>
          <w:p w14:paraId="5A58C66B" w14:textId="26BE7E0B"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1AC0E46B"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9/14/2020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7507A5C6"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29,116</w:t>
            </w:r>
            <w:r>
              <w:rPr>
                <w:rFonts w:ascii="Arial" w:hAnsi="Arial" w:cs="Arial"/>
                <w:sz w:val="12"/>
                <w:szCs w:val="12"/>
                <w:vertAlign w:val="superscript"/>
              </w:rPr>
              <w:tab/>
              <w:t>4</w:t>
            </w:r>
          </w:p>
        </w:tc>
        <w:tc>
          <w:tcPr>
            <w:tcW w:w="1664" w:type="dxa"/>
            <w:tcBorders>
              <w:bottom w:val="single" w:sz="6" w:space="0" w:color="595959"/>
            </w:tcBorders>
            <w:noWrap/>
            <w:tcMar>
              <w:top w:w="0" w:type="dxa"/>
              <w:left w:w="144" w:type="dxa"/>
              <w:bottom w:w="0" w:type="dxa"/>
              <w:right w:w="0" w:type="dxa"/>
            </w:tcMar>
            <w:vAlign w:val="bottom"/>
            <w:hideMark/>
          </w:tcPr>
          <w:p w14:paraId="416F9304"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9,915,163</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7067E47B" w14:textId="39D5DD0C"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5CB52F54" w14:textId="2A1D29AE"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7A551206" w14:textId="77777777" w:rsidTr="003B1DDB">
        <w:trPr>
          <w:cantSplit/>
        </w:trPr>
        <w:tc>
          <w:tcPr>
            <w:tcW w:w="2192" w:type="dxa"/>
            <w:vMerge/>
            <w:tcMar>
              <w:top w:w="0" w:type="dxa"/>
              <w:left w:w="144" w:type="dxa"/>
              <w:bottom w:w="0" w:type="dxa"/>
              <w:right w:w="0" w:type="dxa"/>
            </w:tcMar>
            <w:hideMark/>
          </w:tcPr>
          <w:p w14:paraId="3D9F0D4A" w14:textId="03826E0B"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19CDB15E"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031A22B1"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13,044</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1CB194FA"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4,442,004</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63AD08E5" w14:textId="5C8DE12F"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003B3461" w14:textId="3BD4CA55"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492A499A" w14:textId="77777777" w:rsidTr="003B1DDB">
        <w:trPr>
          <w:cantSplit/>
        </w:trPr>
        <w:tc>
          <w:tcPr>
            <w:tcW w:w="2192" w:type="dxa"/>
            <w:vMerge/>
            <w:tcMar>
              <w:top w:w="0" w:type="dxa"/>
              <w:left w:w="144" w:type="dxa"/>
              <w:bottom w:w="0" w:type="dxa"/>
              <w:right w:w="0" w:type="dxa"/>
            </w:tcMar>
            <w:hideMark/>
          </w:tcPr>
          <w:p w14:paraId="034ABA7F" w14:textId="0C393102"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64E14D9C"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326B51B6" w14:textId="6C466C16"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1664" w:type="dxa"/>
            <w:tcBorders>
              <w:bottom w:val="single" w:sz="6" w:space="0" w:color="595959"/>
            </w:tcBorders>
            <w:noWrap/>
            <w:tcMar>
              <w:top w:w="0" w:type="dxa"/>
              <w:left w:w="144" w:type="dxa"/>
              <w:bottom w:w="0" w:type="dxa"/>
              <w:right w:w="0" w:type="dxa"/>
            </w:tcMar>
            <w:vAlign w:val="bottom"/>
            <w:hideMark/>
          </w:tcPr>
          <w:p w14:paraId="5A2A7D25" w14:textId="64AD6700"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264" w:type="dxa"/>
            <w:tcBorders>
              <w:bottom w:val="single" w:sz="6" w:space="0" w:color="595959"/>
            </w:tcBorders>
            <w:noWrap/>
            <w:tcMar>
              <w:top w:w="0" w:type="dxa"/>
              <w:left w:w="144" w:type="dxa"/>
              <w:bottom w:w="0" w:type="dxa"/>
              <w:right w:w="0" w:type="dxa"/>
            </w:tcMar>
            <w:vAlign w:val="bottom"/>
            <w:hideMark/>
          </w:tcPr>
          <w:p w14:paraId="2B0FDFF7" w14:textId="77777777" w:rsidR="003B1DDB" w:rsidRPr="00306F7C" w:rsidRDefault="003B1DDB" w:rsidP="003B1DDB">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41,742</w:t>
            </w:r>
            <w:r>
              <w:rPr>
                <w:rFonts w:ascii="Arial" w:hAnsi="Arial" w:cs="Arial"/>
                <w:sz w:val="16"/>
                <w:szCs w:val="16"/>
              </w:rPr>
              <w:tab/>
            </w:r>
          </w:p>
        </w:tc>
        <w:tc>
          <w:tcPr>
            <w:tcW w:w="2124" w:type="dxa"/>
            <w:tcBorders>
              <w:bottom w:val="single" w:sz="6" w:space="0" w:color="595959"/>
            </w:tcBorders>
            <w:noWrap/>
            <w:tcMar>
              <w:top w:w="0" w:type="dxa"/>
              <w:left w:w="144" w:type="dxa"/>
              <w:bottom w:w="0" w:type="dxa"/>
              <w:right w:w="0" w:type="dxa"/>
            </w:tcMar>
            <w:vAlign w:val="bottom"/>
            <w:hideMark/>
          </w:tcPr>
          <w:p w14:paraId="1B0FD34F" w14:textId="77777777" w:rsidR="003B1DDB" w:rsidRDefault="003B1DDB" w:rsidP="003B1DDB">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14,214,821</w:t>
            </w:r>
            <w:r>
              <w:rPr>
                <w:rFonts w:ascii="Arial" w:hAnsi="Arial" w:cs="Arial"/>
                <w:sz w:val="16"/>
                <w:szCs w:val="16"/>
              </w:rPr>
              <w:tab/>
            </w:r>
          </w:p>
        </w:tc>
      </w:tr>
      <w:tr w:rsidR="003B1DDB" w14:paraId="18CBD5C7" w14:textId="77777777" w:rsidTr="003B1DDB">
        <w:trPr>
          <w:cantSplit/>
        </w:trPr>
        <w:tc>
          <w:tcPr>
            <w:tcW w:w="2192" w:type="dxa"/>
            <w:vMerge/>
            <w:tcMar>
              <w:top w:w="0" w:type="dxa"/>
              <w:left w:w="144" w:type="dxa"/>
              <w:bottom w:w="0" w:type="dxa"/>
              <w:right w:w="0" w:type="dxa"/>
            </w:tcMar>
            <w:hideMark/>
          </w:tcPr>
          <w:p w14:paraId="65FB75B1" w14:textId="4FD8370F" w:rsidR="003B1DDB" w:rsidRDefault="003B1DDB" w:rsidP="00D87FF2">
            <w:pPr>
              <w:pStyle w:val="NormalWeb"/>
              <w:spacing w:before="0" w:beforeAutospacing="0" w:after="0" w:afterAutospacing="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7ADEF285" w14:textId="77777777" w:rsidR="003B1DDB" w:rsidRDefault="003B1DDB"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560AD5BF" w14:textId="77777777" w:rsidR="003B1DDB" w:rsidRDefault="003B1DDB"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27,996</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78B6DCEC" w14:textId="77777777" w:rsidR="003B1DDB" w:rsidRDefault="003B1DDB"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9,533,758</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1A463017" w14:textId="77777777" w:rsidR="003B1DDB" w:rsidRDefault="003B1DDB"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11AF9AA1" w14:textId="77777777" w:rsidR="003B1DDB" w:rsidRDefault="003B1DDB" w:rsidP="00D87FF2">
            <w:pPr>
              <w:rPr>
                <w:sz w:val="20"/>
              </w:rPr>
            </w:pPr>
          </w:p>
        </w:tc>
      </w:tr>
      <w:tr w:rsidR="003B1DDB" w14:paraId="23CAAE5A" w14:textId="77777777" w:rsidTr="003B1DDB">
        <w:trPr>
          <w:cantSplit/>
        </w:trPr>
        <w:tc>
          <w:tcPr>
            <w:tcW w:w="2192" w:type="dxa"/>
            <w:vMerge/>
            <w:tcBorders>
              <w:bottom w:val="single" w:sz="6" w:space="0" w:color="0075C9"/>
            </w:tcBorders>
            <w:tcMar>
              <w:top w:w="0" w:type="dxa"/>
              <w:left w:w="0" w:type="dxa"/>
              <w:bottom w:w="40" w:type="dxa"/>
              <w:right w:w="0" w:type="dxa"/>
            </w:tcMar>
            <w:hideMark/>
          </w:tcPr>
          <w:p w14:paraId="4C43B483" w14:textId="77777777" w:rsidR="003B1DDB" w:rsidRDefault="003B1DDB" w:rsidP="003B1DDB">
            <w:pPr>
              <w:rPr>
                <w:rFonts w:ascii="Arial" w:hAnsi="Arial" w:cs="Arial"/>
                <w:sz w:val="2"/>
                <w:szCs w:val="2"/>
              </w:rPr>
            </w:pPr>
          </w:p>
        </w:tc>
        <w:tc>
          <w:tcPr>
            <w:tcW w:w="840" w:type="dxa"/>
            <w:tcBorders>
              <w:bottom w:val="single" w:sz="6" w:space="0" w:color="0075C9"/>
            </w:tcBorders>
            <w:tcMar>
              <w:top w:w="0" w:type="dxa"/>
              <w:left w:w="0" w:type="dxa"/>
              <w:bottom w:w="40" w:type="dxa"/>
              <w:right w:w="0" w:type="dxa"/>
            </w:tcMar>
            <w:vAlign w:val="bottom"/>
            <w:hideMark/>
          </w:tcPr>
          <w:p w14:paraId="5C70DD54" w14:textId="77777777" w:rsidR="003B1DDB" w:rsidRPr="00306F7C"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0075C9"/>
            </w:tcBorders>
            <w:noWrap/>
            <w:tcMar>
              <w:top w:w="0" w:type="dxa"/>
              <w:left w:w="144" w:type="dxa"/>
              <w:bottom w:w="0" w:type="dxa"/>
              <w:right w:w="0" w:type="dxa"/>
            </w:tcMar>
            <w:vAlign w:val="bottom"/>
            <w:hideMark/>
          </w:tcPr>
          <w:p w14:paraId="70E7D440" w14:textId="23181130"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1664" w:type="dxa"/>
            <w:tcBorders>
              <w:bottom w:val="single" w:sz="6" w:space="0" w:color="0075C9"/>
            </w:tcBorders>
            <w:noWrap/>
            <w:tcMar>
              <w:top w:w="0" w:type="dxa"/>
              <w:left w:w="144" w:type="dxa"/>
              <w:bottom w:w="0" w:type="dxa"/>
              <w:right w:w="0" w:type="dxa"/>
            </w:tcMar>
            <w:vAlign w:val="bottom"/>
            <w:hideMark/>
          </w:tcPr>
          <w:p w14:paraId="08C69B4E" w14:textId="6D58192E"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264" w:type="dxa"/>
            <w:tcBorders>
              <w:bottom w:val="single" w:sz="6" w:space="0" w:color="0075C9"/>
            </w:tcBorders>
            <w:noWrap/>
            <w:tcMar>
              <w:top w:w="0" w:type="dxa"/>
              <w:left w:w="144" w:type="dxa"/>
              <w:bottom w:w="0" w:type="dxa"/>
              <w:right w:w="0" w:type="dxa"/>
            </w:tcMar>
            <w:vAlign w:val="bottom"/>
            <w:hideMark/>
          </w:tcPr>
          <w:p w14:paraId="4640C325" w14:textId="77777777" w:rsidR="003B1DDB" w:rsidRPr="00306F7C" w:rsidRDefault="003B1DDB" w:rsidP="003B1DDB">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27,996</w:t>
            </w:r>
            <w:r>
              <w:rPr>
                <w:rFonts w:ascii="Arial" w:hAnsi="Arial" w:cs="Arial"/>
                <w:sz w:val="16"/>
                <w:szCs w:val="16"/>
              </w:rPr>
              <w:tab/>
            </w:r>
          </w:p>
        </w:tc>
        <w:tc>
          <w:tcPr>
            <w:tcW w:w="2124" w:type="dxa"/>
            <w:tcBorders>
              <w:bottom w:val="single" w:sz="6" w:space="0" w:color="0075C9"/>
            </w:tcBorders>
            <w:noWrap/>
            <w:tcMar>
              <w:top w:w="0" w:type="dxa"/>
              <w:left w:w="144" w:type="dxa"/>
              <w:bottom w:w="0" w:type="dxa"/>
              <w:right w:w="0" w:type="dxa"/>
            </w:tcMar>
            <w:vAlign w:val="bottom"/>
            <w:hideMark/>
          </w:tcPr>
          <w:p w14:paraId="3D8B4B0B" w14:textId="77777777" w:rsidR="003B1DDB" w:rsidRDefault="003B1DDB" w:rsidP="003B1DDB">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9,533,758</w:t>
            </w:r>
            <w:r>
              <w:rPr>
                <w:rFonts w:ascii="Arial" w:hAnsi="Arial" w:cs="Arial"/>
                <w:sz w:val="16"/>
                <w:szCs w:val="16"/>
              </w:rPr>
              <w:tab/>
            </w:r>
          </w:p>
        </w:tc>
      </w:tr>
      <w:tr w:rsidR="003B1DDB" w14:paraId="30DBB451" w14:textId="77777777" w:rsidTr="003B1DDB">
        <w:trPr>
          <w:cantSplit/>
        </w:trPr>
        <w:tc>
          <w:tcPr>
            <w:tcW w:w="2192" w:type="dxa"/>
            <w:vMerge w:val="restart"/>
            <w:tcMar>
              <w:top w:w="0" w:type="dxa"/>
              <w:left w:w="0" w:type="dxa"/>
              <w:bottom w:w="40" w:type="dxa"/>
              <w:right w:w="0" w:type="dxa"/>
            </w:tcMar>
            <w:hideMark/>
          </w:tcPr>
          <w:p w14:paraId="42E63B1B" w14:textId="77777777" w:rsidR="003B1DDB" w:rsidRPr="00306F7C" w:rsidRDefault="003B1DDB" w:rsidP="003B1DDB">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Bradford L. Smith</w:t>
            </w:r>
          </w:p>
          <w:p w14:paraId="1576449E"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753311A6"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43390C9C"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7EA58786"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2F4D0B21"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39B0B6BF"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4B5F9B59"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2DD776A1"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3DEEDB66"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576E2DB1" w14:textId="0F63BAE3" w:rsidR="003B1DDB" w:rsidRPr="00306F7C" w:rsidRDefault="003B1DDB" w:rsidP="003B1DDB">
            <w:pPr>
              <w:pStyle w:val="NormalWeb"/>
              <w:spacing w:before="0" w:after="0"/>
              <w:rPr>
                <w:rFonts w:ascii="Arial" w:hAnsi="Arial" w:cs="Arial"/>
                <w:sz w:val="16"/>
                <w:szCs w:val="16"/>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38DBB1F3"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9/18/2019</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5F46782A"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4,171</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2D7CC8A3"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1,420,392</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2729E5D7" w14:textId="3497623B"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0D632DAB" w14:textId="20AEE185"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1CB07798" w14:textId="77777777" w:rsidTr="003B1DDB">
        <w:trPr>
          <w:cantSplit/>
        </w:trPr>
        <w:tc>
          <w:tcPr>
            <w:tcW w:w="2192" w:type="dxa"/>
            <w:vMerge/>
            <w:tcMar>
              <w:top w:w="0" w:type="dxa"/>
              <w:left w:w="144" w:type="dxa"/>
              <w:bottom w:w="0" w:type="dxa"/>
              <w:right w:w="0" w:type="dxa"/>
            </w:tcMar>
            <w:hideMark/>
          </w:tcPr>
          <w:p w14:paraId="4680FEA2" w14:textId="6891F80F"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5DB55C80"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9/14/2020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11AA7790"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10,476</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53B999B7"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3,567,497</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124AE97C" w14:textId="2EA04475"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5EEBF204" w14:textId="700E5E44"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284DC655" w14:textId="77777777" w:rsidTr="003B1DDB">
        <w:trPr>
          <w:cantSplit/>
        </w:trPr>
        <w:tc>
          <w:tcPr>
            <w:tcW w:w="2192" w:type="dxa"/>
            <w:vMerge/>
            <w:tcMar>
              <w:top w:w="0" w:type="dxa"/>
              <w:left w:w="144" w:type="dxa"/>
              <w:bottom w:w="0" w:type="dxa"/>
              <w:right w:w="0" w:type="dxa"/>
            </w:tcMar>
            <w:hideMark/>
          </w:tcPr>
          <w:p w14:paraId="42C3155E" w14:textId="5DBED52F"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5117A01F"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9/14/2020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1266B176"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40,763</w:t>
            </w:r>
            <w:r>
              <w:rPr>
                <w:rFonts w:ascii="Arial" w:hAnsi="Arial" w:cs="Arial"/>
                <w:sz w:val="12"/>
                <w:szCs w:val="12"/>
                <w:vertAlign w:val="superscript"/>
              </w:rPr>
              <w:tab/>
              <w:t>4</w:t>
            </w:r>
          </w:p>
        </w:tc>
        <w:tc>
          <w:tcPr>
            <w:tcW w:w="1664" w:type="dxa"/>
            <w:tcBorders>
              <w:bottom w:val="single" w:sz="6" w:space="0" w:color="595959"/>
            </w:tcBorders>
            <w:noWrap/>
            <w:tcMar>
              <w:top w:w="0" w:type="dxa"/>
              <w:left w:w="144" w:type="dxa"/>
              <w:bottom w:w="0" w:type="dxa"/>
              <w:right w:w="0" w:type="dxa"/>
            </w:tcMar>
            <w:vAlign w:val="bottom"/>
            <w:hideMark/>
          </w:tcPr>
          <w:p w14:paraId="08B2BA70"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13,881,432</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4BA70180" w14:textId="556EF9DF"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60F168C9" w14:textId="72434452"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7B126954" w14:textId="77777777" w:rsidTr="003B1DDB">
        <w:trPr>
          <w:cantSplit/>
        </w:trPr>
        <w:tc>
          <w:tcPr>
            <w:tcW w:w="2192" w:type="dxa"/>
            <w:vMerge/>
            <w:tcMar>
              <w:top w:w="0" w:type="dxa"/>
              <w:left w:w="144" w:type="dxa"/>
              <w:bottom w:w="0" w:type="dxa"/>
              <w:right w:w="0" w:type="dxa"/>
            </w:tcMar>
            <w:hideMark/>
          </w:tcPr>
          <w:p w14:paraId="2AB96ECE" w14:textId="57B63EBE"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26DC9A85"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7820B74E"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16,046</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1A25271F"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5,464,305</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1E5A8670" w14:textId="1D74B0C9"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11E436AE" w14:textId="19A0F41A"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15D33633" w14:textId="77777777" w:rsidTr="003B1DDB">
        <w:trPr>
          <w:cantSplit/>
        </w:trPr>
        <w:tc>
          <w:tcPr>
            <w:tcW w:w="2192" w:type="dxa"/>
            <w:vMerge/>
            <w:tcMar>
              <w:top w:w="0" w:type="dxa"/>
              <w:left w:w="144" w:type="dxa"/>
              <w:bottom w:w="0" w:type="dxa"/>
              <w:right w:w="0" w:type="dxa"/>
            </w:tcMar>
            <w:hideMark/>
          </w:tcPr>
          <w:p w14:paraId="56F3F971" w14:textId="56FC5973"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68B551D2"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0F10C31A" w14:textId="17D9CE76"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1664" w:type="dxa"/>
            <w:tcBorders>
              <w:bottom w:val="single" w:sz="6" w:space="0" w:color="595959"/>
            </w:tcBorders>
            <w:noWrap/>
            <w:tcMar>
              <w:top w:w="0" w:type="dxa"/>
              <w:left w:w="144" w:type="dxa"/>
              <w:bottom w:w="0" w:type="dxa"/>
              <w:right w:w="0" w:type="dxa"/>
            </w:tcMar>
            <w:vAlign w:val="bottom"/>
            <w:hideMark/>
          </w:tcPr>
          <w:p w14:paraId="11197FCF" w14:textId="19D24BC1"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264" w:type="dxa"/>
            <w:tcBorders>
              <w:bottom w:val="single" w:sz="6" w:space="0" w:color="595959"/>
            </w:tcBorders>
            <w:noWrap/>
            <w:tcMar>
              <w:top w:w="0" w:type="dxa"/>
              <w:left w:w="144" w:type="dxa"/>
              <w:bottom w:w="0" w:type="dxa"/>
              <w:right w:w="0" w:type="dxa"/>
            </w:tcMar>
            <w:vAlign w:val="bottom"/>
            <w:hideMark/>
          </w:tcPr>
          <w:p w14:paraId="1A48E6FE" w14:textId="77777777" w:rsidR="003B1DDB" w:rsidRPr="00306F7C" w:rsidRDefault="003B1DDB" w:rsidP="003B1DDB">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51,348</w:t>
            </w:r>
            <w:r>
              <w:rPr>
                <w:rFonts w:ascii="Arial" w:hAnsi="Arial" w:cs="Arial"/>
                <w:sz w:val="16"/>
                <w:szCs w:val="16"/>
              </w:rPr>
              <w:tab/>
            </w:r>
          </w:p>
        </w:tc>
        <w:tc>
          <w:tcPr>
            <w:tcW w:w="2124" w:type="dxa"/>
            <w:tcBorders>
              <w:bottom w:val="single" w:sz="6" w:space="0" w:color="595959"/>
            </w:tcBorders>
            <w:noWrap/>
            <w:tcMar>
              <w:top w:w="0" w:type="dxa"/>
              <w:left w:w="144" w:type="dxa"/>
              <w:bottom w:w="0" w:type="dxa"/>
              <w:right w:w="0" w:type="dxa"/>
            </w:tcMar>
            <w:vAlign w:val="bottom"/>
            <w:hideMark/>
          </w:tcPr>
          <w:p w14:paraId="79D259FD" w14:textId="77777777" w:rsidR="003B1DDB" w:rsidRDefault="003B1DDB" w:rsidP="003B1DDB">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17,486,048</w:t>
            </w:r>
            <w:r>
              <w:rPr>
                <w:rFonts w:ascii="Arial" w:hAnsi="Arial" w:cs="Arial"/>
                <w:sz w:val="16"/>
                <w:szCs w:val="16"/>
              </w:rPr>
              <w:tab/>
            </w:r>
          </w:p>
        </w:tc>
      </w:tr>
      <w:tr w:rsidR="003B1DDB" w14:paraId="48AA38D2" w14:textId="77777777" w:rsidTr="003B1DDB">
        <w:trPr>
          <w:cantSplit/>
        </w:trPr>
        <w:tc>
          <w:tcPr>
            <w:tcW w:w="2192" w:type="dxa"/>
            <w:vMerge/>
            <w:tcMar>
              <w:top w:w="0" w:type="dxa"/>
              <w:left w:w="144" w:type="dxa"/>
              <w:bottom w:w="0" w:type="dxa"/>
              <w:right w:w="0" w:type="dxa"/>
            </w:tcMar>
            <w:hideMark/>
          </w:tcPr>
          <w:p w14:paraId="19905144" w14:textId="04564250" w:rsidR="003B1DDB" w:rsidRDefault="003B1DDB" w:rsidP="003B1DDB">
            <w:pPr>
              <w:pStyle w:val="NormalWeb"/>
              <w:spacing w:before="0" w:beforeAutospacing="0" w:after="0" w:afterAutospacing="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508A5500"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65EBBCC9"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29,641</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1FB6586B"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10,093,946</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316ABBD7" w14:textId="6ADE30A8"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66B4FF12" w14:textId="68FD9B5C"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5D44297A" w14:textId="77777777" w:rsidTr="003B1DDB">
        <w:trPr>
          <w:cantSplit/>
        </w:trPr>
        <w:tc>
          <w:tcPr>
            <w:tcW w:w="2192" w:type="dxa"/>
            <w:vMerge/>
            <w:tcBorders>
              <w:bottom w:val="single" w:sz="6" w:space="0" w:color="0075C9"/>
            </w:tcBorders>
            <w:tcMar>
              <w:top w:w="0" w:type="dxa"/>
              <w:left w:w="0" w:type="dxa"/>
              <w:bottom w:w="40" w:type="dxa"/>
              <w:right w:w="0" w:type="dxa"/>
            </w:tcMar>
            <w:hideMark/>
          </w:tcPr>
          <w:p w14:paraId="71CAD328" w14:textId="77777777" w:rsidR="003B1DDB" w:rsidRDefault="003B1DDB" w:rsidP="003B1DDB">
            <w:pPr>
              <w:rPr>
                <w:rFonts w:ascii="Arial" w:hAnsi="Arial" w:cs="Arial"/>
                <w:sz w:val="2"/>
                <w:szCs w:val="2"/>
              </w:rPr>
            </w:pPr>
          </w:p>
        </w:tc>
        <w:tc>
          <w:tcPr>
            <w:tcW w:w="840" w:type="dxa"/>
            <w:tcBorders>
              <w:bottom w:val="single" w:sz="6" w:space="0" w:color="0075C9"/>
            </w:tcBorders>
            <w:tcMar>
              <w:top w:w="0" w:type="dxa"/>
              <w:left w:w="0" w:type="dxa"/>
              <w:bottom w:w="40" w:type="dxa"/>
              <w:right w:w="0" w:type="dxa"/>
            </w:tcMar>
            <w:vAlign w:val="bottom"/>
            <w:hideMark/>
          </w:tcPr>
          <w:p w14:paraId="0D138A77" w14:textId="77777777" w:rsidR="003B1DDB" w:rsidRPr="00306F7C"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0075C9"/>
            </w:tcBorders>
            <w:noWrap/>
            <w:tcMar>
              <w:top w:w="0" w:type="dxa"/>
              <w:left w:w="144" w:type="dxa"/>
              <w:bottom w:w="0" w:type="dxa"/>
              <w:right w:w="0" w:type="dxa"/>
            </w:tcMar>
            <w:vAlign w:val="bottom"/>
            <w:hideMark/>
          </w:tcPr>
          <w:p w14:paraId="41B39E1E" w14:textId="0849E50F"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1664" w:type="dxa"/>
            <w:tcBorders>
              <w:bottom w:val="single" w:sz="6" w:space="0" w:color="0075C9"/>
            </w:tcBorders>
            <w:noWrap/>
            <w:tcMar>
              <w:top w:w="0" w:type="dxa"/>
              <w:left w:w="144" w:type="dxa"/>
              <w:bottom w:w="0" w:type="dxa"/>
              <w:right w:w="0" w:type="dxa"/>
            </w:tcMar>
            <w:vAlign w:val="bottom"/>
            <w:hideMark/>
          </w:tcPr>
          <w:p w14:paraId="22C5C928" w14:textId="15E53490"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264" w:type="dxa"/>
            <w:tcBorders>
              <w:bottom w:val="single" w:sz="6" w:space="0" w:color="0075C9"/>
            </w:tcBorders>
            <w:noWrap/>
            <w:tcMar>
              <w:top w:w="0" w:type="dxa"/>
              <w:left w:w="144" w:type="dxa"/>
              <w:bottom w:w="0" w:type="dxa"/>
              <w:right w:w="0" w:type="dxa"/>
            </w:tcMar>
            <w:vAlign w:val="bottom"/>
            <w:hideMark/>
          </w:tcPr>
          <w:p w14:paraId="18C2B85C" w14:textId="77777777" w:rsidR="003B1DDB" w:rsidRPr="00306F7C" w:rsidRDefault="003B1DDB" w:rsidP="003B1DDB">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29,641</w:t>
            </w:r>
            <w:r>
              <w:rPr>
                <w:rFonts w:ascii="Arial" w:hAnsi="Arial" w:cs="Arial"/>
                <w:sz w:val="16"/>
                <w:szCs w:val="16"/>
              </w:rPr>
              <w:tab/>
            </w:r>
          </w:p>
        </w:tc>
        <w:tc>
          <w:tcPr>
            <w:tcW w:w="2124" w:type="dxa"/>
            <w:tcBorders>
              <w:bottom w:val="single" w:sz="6" w:space="0" w:color="0075C9"/>
            </w:tcBorders>
            <w:noWrap/>
            <w:tcMar>
              <w:top w:w="0" w:type="dxa"/>
              <w:left w:w="144" w:type="dxa"/>
              <w:bottom w:w="0" w:type="dxa"/>
              <w:right w:w="0" w:type="dxa"/>
            </w:tcMar>
            <w:vAlign w:val="bottom"/>
            <w:hideMark/>
          </w:tcPr>
          <w:p w14:paraId="01275713" w14:textId="77777777" w:rsidR="003B1DDB" w:rsidRDefault="003B1DDB" w:rsidP="003B1DDB">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10,093,606</w:t>
            </w:r>
            <w:r>
              <w:rPr>
                <w:rFonts w:ascii="Arial" w:hAnsi="Arial" w:cs="Arial"/>
                <w:sz w:val="16"/>
                <w:szCs w:val="16"/>
              </w:rPr>
              <w:tab/>
            </w:r>
          </w:p>
        </w:tc>
      </w:tr>
      <w:tr w:rsidR="003B1DDB" w14:paraId="40878A3B" w14:textId="77777777" w:rsidTr="003B1DDB">
        <w:trPr>
          <w:cantSplit/>
        </w:trPr>
        <w:tc>
          <w:tcPr>
            <w:tcW w:w="2192" w:type="dxa"/>
            <w:vMerge w:val="restart"/>
            <w:tcMar>
              <w:top w:w="0" w:type="dxa"/>
              <w:left w:w="0" w:type="dxa"/>
              <w:bottom w:w="40" w:type="dxa"/>
              <w:right w:w="0" w:type="dxa"/>
            </w:tcMar>
            <w:hideMark/>
          </w:tcPr>
          <w:p w14:paraId="071D96E4" w14:textId="77777777" w:rsidR="003B1DDB" w:rsidRPr="00306F7C" w:rsidRDefault="003B1DDB" w:rsidP="003B1DDB">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Christopher D. Young</w:t>
            </w:r>
          </w:p>
          <w:p w14:paraId="15325FD4"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489307EE"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4BA40CFA"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6F92B2A7"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69DC96B8"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4E8EF9F8"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5E1872DD"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6AFB64F8" w14:textId="77777777" w:rsidR="003B1DDB" w:rsidRDefault="003B1DDB" w:rsidP="003B1DDB">
            <w:pPr>
              <w:pStyle w:val="NormalWeb"/>
              <w:spacing w:before="0" w:beforeAutospacing="0" w:after="0" w:afterAutospacing="0"/>
              <w:rPr>
                <w:rFonts w:ascii="Arial" w:hAnsi="Arial" w:cs="Arial"/>
                <w:sz w:val="4"/>
                <w:szCs w:val="4"/>
              </w:rPr>
            </w:pPr>
            <w:r>
              <w:rPr>
                <w:rFonts w:ascii="Arial" w:hAnsi="Arial" w:cs="Arial"/>
                <w:sz w:val="4"/>
                <w:szCs w:val="4"/>
              </w:rPr>
              <w:t> </w:t>
            </w:r>
          </w:p>
          <w:p w14:paraId="495D7262" w14:textId="77777777" w:rsidR="003B1DDB" w:rsidRPr="00306F7C" w:rsidRDefault="003B1DDB" w:rsidP="003B1DDB">
            <w:pPr>
              <w:pStyle w:val="la2"/>
              <w:rPr>
                <w:rFonts w:ascii="Arial" w:hAnsi="Arial" w:cs="Arial"/>
                <w:sz w:val="16"/>
                <w:szCs w:val="16"/>
              </w:rPr>
            </w:pPr>
            <w:r>
              <w:rPr>
                <w:rFonts w:ascii="Arial" w:hAnsi="Arial" w:cs="Arial"/>
                <w:sz w:val="16"/>
                <w:szCs w:val="16"/>
              </w:rPr>
              <w:t> </w:t>
            </w:r>
          </w:p>
          <w:p w14:paraId="406A5A66" w14:textId="20F9EFD9" w:rsidR="003B1DDB" w:rsidRPr="00306F7C" w:rsidRDefault="003B1DDB" w:rsidP="003B1DDB">
            <w:pPr>
              <w:pStyle w:val="NormalWeb"/>
              <w:spacing w:before="0" w:after="0"/>
              <w:rPr>
                <w:rFonts w:ascii="Arial" w:hAnsi="Arial" w:cs="Arial"/>
                <w:sz w:val="16"/>
                <w:szCs w:val="16"/>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4B1ADD96"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11/11/2020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60B397DC"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41,561</w:t>
            </w:r>
            <w:r>
              <w:rPr>
                <w:rFonts w:ascii="Arial" w:hAnsi="Arial" w:cs="Arial"/>
                <w:sz w:val="12"/>
                <w:szCs w:val="12"/>
                <w:vertAlign w:val="superscript"/>
              </w:rPr>
              <w:tab/>
              <w:t>4,5</w:t>
            </w:r>
            <w:r>
              <w:rPr>
                <w:rFonts w:ascii="Arial" w:hAnsi="Arial" w:cs="Arial"/>
                <w:sz w:val="16"/>
                <w:szCs w:val="16"/>
              </w:rPr>
              <w:t xml:space="preserve"> </w:t>
            </w:r>
          </w:p>
        </w:tc>
        <w:tc>
          <w:tcPr>
            <w:tcW w:w="1664" w:type="dxa"/>
            <w:tcBorders>
              <w:bottom w:val="single" w:sz="6" w:space="0" w:color="595959"/>
            </w:tcBorders>
            <w:noWrap/>
            <w:tcMar>
              <w:top w:w="0" w:type="dxa"/>
              <w:left w:w="144" w:type="dxa"/>
              <w:bottom w:w="0" w:type="dxa"/>
              <w:right w:w="0" w:type="dxa"/>
            </w:tcMar>
            <w:vAlign w:val="bottom"/>
            <w:hideMark/>
          </w:tcPr>
          <w:p w14:paraId="64D5C0FD"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14,153,183</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7759A397" w14:textId="3E83BCAE"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44E5D775" w14:textId="16F82D69"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3F576BED" w14:textId="77777777" w:rsidTr="003B1DDB">
        <w:trPr>
          <w:cantSplit/>
        </w:trPr>
        <w:tc>
          <w:tcPr>
            <w:tcW w:w="2192" w:type="dxa"/>
            <w:vMerge/>
            <w:tcMar>
              <w:top w:w="0" w:type="dxa"/>
              <w:left w:w="144" w:type="dxa"/>
              <w:bottom w:w="0" w:type="dxa"/>
              <w:right w:w="0" w:type="dxa"/>
            </w:tcMar>
            <w:hideMark/>
          </w:tcPr>
          <w:p w14:paraId="37282A6B" w14:textId="58531A1C"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1AF00924"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11/11/2020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059B5B63"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6,495</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340D8602"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2,211,807</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05DAD88A" w14:textId="5EEA37C6"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37B1E97F" w14:textId="49F2D00A"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55193E8E" w14:textId="77777777" w:rsidTr="003B1DDB">
        <w:trPr>
          <w:cantSplit/>
        </w:trPr>
        <w:tc>
          <w:tcPr>
            <w:tcW w:w="2192" w:type="dxa"/>
            <w:vMerge/>
            <w:tcMar>
              <w:top w:w="0" w:type="dxa"/>
              <w:left w:w="144" w:type="dxa"/>
              <w:bottom w:w="0" w:type="dxa"/>
              <w:right w:w="0" w:type="dxa"/>
            </w:tcMar>
            <w:hideMark/>
          </w:tcPr>
          <w:p w14:paraId="1D5F9E66" w14:textId="1195E4FA"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784C6154"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11/11/2020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253ECF26"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25,271</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759DB38D"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8,605,786</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3DFE24C1" w14:textId="5A6A9B97"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59D4D5C1" w14:textId="0323E0A2"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0E8823DB" w14:textId="77777777" w:rsidTr="003B1DDB">
        <w:trPr>
          <w:cantSplit/>
        </w:trPr>
        <w:tc>
          <w:tcPr>
            <w:tcW w:w="2192" w:type="dxa"/>
            <w:vMerge/>
            <w:tcMar>
              <w:top w:w="0" w:type="dxa"/>
              <w:left w:w="144" w:type="dxa"/>
              <w:bottom w:w="0" w:type="dxa"/>
              <w:right w:w="0" w:type="dxa"/>
            </w:tcMar>
            <w:hideMark/>
          </w:tcPr>
          <w:p w14:paraId="0177D394" w14:textId="79C4745F"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6CFC7CDA"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2D4E97DB"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7,765</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3B2477B6"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2,644,293</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01116214" w14:textId="46DFE8F1"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12EC4E65" w14:textId="126D67E4"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39DE3149" w14:textId="77777777" w:rsidTr="003B1DDB">
        <w:trPr>
          <w:cantSplit/>
        </w:trPr>
        <w:tc>
          <w:tcPr>
            <w:tcW w:w="2192" w:type="dxa"/>
            <w:vMerge/>
            <w:tcMar>
              <w:top w:w="0" w:type="dxa"/>
              <w:left w:w="144" w:type="dxa"/>
              <w:bottom w:w="0" w:type="dxa"/>
              <w:right w:w="0" w:type="dxa"/>
            </w:tcMar>
            <w:hideMark/>
          </w:tcPr>
          <w:p w14:paraId="6D87B052" w14:textId="102F14EE" w:rsidR="003B1DDB" w:rsidRDefault="003B1DDB" w:rsidP="003B1DDB">
            <w:pPr>
              <w:pStyle w:val="NormalWeb"/>
              <w:spacing w:before="0" w:after="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09841CD9"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2C536968" w14:textId="28173CD7"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1664" w:type="dxa"/>
            <w:tcBorders>
              <w:bottom w:val="single" w:sz="6" w:space="0" w:color="595959"/>
            </w:tcBorders>
            <w:noWrap/>
            <w:tcMar>
              <w:top w:w="0" w:type="dxa"/>
              <w:left w:w="144" w:type="dxa"/>
              <w:bottom w:w="0" w:type="dxa"/>
              <w:right w:w="0" w:type="dxa"/>
            </w:tcMar>
            <w:vAlign w:val="bottom"/>
            <w:hideMark/>
          </w:tcPr>
          <w:p w14:paraId="16FF7394" w14:textId="1E85C166"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264" w:type="dxa"/>
            <w:tcBorders>
              <w:bottom w:val="single" w:sz="6" w:space="0" w:color="595959"/>
            </w:tcBorders>
            <w:noWrap/>
            <w:tcMar>
              <w:top w:w="0" w:type="dxa"/>
              <w:left w:w="144" w:type="dxa"/>
              <w:bottom w:w="0" w:type="dxa"/>
              <w:right w:w="0" w:type="dxa"/>
            </w:tcMar>
            <w:vAlign w:val="bottom"/>
            <w:hideMark/>
          </w:tcPr>
          <w:p w14:paraId="6101C277" w14:textId="77777777" w:rsidR="003B1DDB" w:rsidRPr="00306F7C" w:rsidRDefault="003B1DDB" w:rsidP="003B1DDB">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24,846</w:t>
            </w:r>
            <w:r>
              <w:rPr>
                <w:rFonts w:ascii="Arial" w:hAnsi="Arial" w:cs="Arial"/>
                <w:sz w:val="16"/>
                <w:szCs w:val="16"/>
              </w:rPr>
              <w:tab/>
            </w:r>
          </w:p>
        </w:tc>
        <w:tc>
          <w:tcPr>
            <w:tcW w:w="2124" w:type="dxa"/>
            <w:tcBorders>
              <w:bottom w:val="single" w:sz="6" w:space="0" w:color="595959"/>
            </w:tcBorders>
            <w:noWrap/>
            <w:tcMar>
              <w:top w:w="0" w:type="dxa"/>
              <w:left w:w="144" w:type="dxa"/>
              <w:bottom w:w="0" w:type="dxa"/>
              <w:right w:w="0" w:type="dxa"/>
            </w:tcMar>
            <w:vAlign w:val="bottom"/>
            <w:hideMark/>
          </w:tcPr>
          <w:p w14:paraId="1B8E36EF" w14:textId="77777777" w:rsidR="003B1DDB" w:rsidRDefault="003B1DDB" w:rsidP="003B1DDB">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8,461,057</w:t>
            </w:r>
            <w:r>
              <w:rPr>
                <w:rFonts w:ascii="Arial" w:hAnsi="Arial" w:cs="Arial"/>
                <w:sz w:val="16"/>
                <w:szCs w:val="16"/>
              </w:rPr>
              <w:tab/>
            </w:r>
          </w:p>
        </w:tc>
      </w:tr>
      <w:tr w:rsidR="003B1DDB" w14:paraId="7FEBB28B" w14:textId="77777777" w:rsidTr="003B1DDB">
        <w:trPr>
          <w:cantSplit/>
        </w:trPr>
        <w:tc>
          <w:tcPr>
            <w:tcW w:w="2192" w:type="dxa"/>
            <w:vMerge/>
            <w:tcMar>
              <w:top w:w="0" w:type="dxa"/>
              <w:left w:w="144" w:type="dxa"/>
              <w:bottom w:w="0" w:type="dxa"/>
              <w:right w:w="0" w:type="dxa"/>
            </w:tcMar>
            <w:hideMark/>
          </w:tcPr>
          <w:p w14:paraId="12E73682" w14:textId="11F43C1B" w:rsidR="003B1DDB" w:rsidRDefault="003B1DDB" w:rsidP="003B1DDB">
            <w:pPr>
              <w:pStyle w:val="NormalWeb"/>
              <w:spacing w:before="0" w:beforeAutospacing="0" w:after="0" w:afterAutospacing="0"/>
              <w:rPr>
                <w:rFonts w:ascii="Arial" w:hAnsi="Arial" w:cs="Arial"/>
                <w:sz w:val="4"/>
                <w:szCs w:val="4"/>
              </w:rPr>
            </w:pPr>
          </w:p>
        </w:tc>
        <w:tc>
          <w:tcPr>
            <w:tcW w:w="840" w:type="dxa"/>
            <w:tcBorders>
              <w:bottom w:val="single" w:sz="6" w:space="0" w:color="595959"/>
            </w:tcBorders>
            <w:tcMar>
              <w:top w:w="0" w:type="dxa"/>
              <w:left w:w="0" w:type="dxa"/>
              <w:bottom w:w="40" w:type="dxa"/>
              <w:right w:w="0" w:type="dxa"/>
            </w:tcMar>
            <w:vAlign w:val="bottom"/>
            <w:hideMark/>
          </w:tcPr>
          <w:p w14:paraId="4B22DFF5" w14:textId="77777777" w:rsidR="003B1DDB"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13F6A5D4" w14:textId="77777777" w:rsidR="003B1DDB" w:rsidRDefault="003B1DDB" w:rsidP="003B1DDB">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14,342</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78447819" w14:textId="77777777" w:rsidR="003B1DDB" w:rsidRDefault="003B1DDB" w:rsidP="003B1DDB">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4,884,025</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75C05F39" w14:textId="503110D7"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124" w:type="dxa"/>
            <w:tcBorders>
              <w:bottom w:val="single" w:sz="6" w:space="0" w:color="595959"/>
            </w:tcBorders>
            <w:noWrap/>
            <w:tcMar>
              <w:top w:w="0" w:type="dxa"/>
              <w:left w:w="144" w:type="dxa"/>
              <w:bottom w:w="0" w:type="dxa"/>
              <w:right w:w="0" w:type="dxa"/>
            </w:tcMar>
            <w:vAlign w:val="bottom"/>
            <w:hideMark/>
          </w:tcPr>
          <w:p w14:paraId="70120F8E" w14:textId="055FE326"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r>
      <w:tr w:rsidR="003B1DDB" w14:paraId="2E301BBA" w14:textId="77777777" w:rsidTr="003B1DDB">
        <w:trPr>
          <w:cantSplit/>
        </w:trPr>
        <w:tc>
          <w:tcPr>
            <w:tcW w:w="2192" w:type="dxa"/>
            <w:vMerge/>
            <w:tcBorders>
              <w:bottom w:val="single" w:sz="6" w:space="0" w:color="0075C9"/>
            </w:tcBorders>
            <w:tcMar>
              <w:top w:w="0" w:type="dxa"/>
              <w:left w:w="0" w:type="dxa"/>
              <w:bottom w:w="40" w:type="dxa"/>
              <w:right w:w="0" w:type="dxa"/>
            </w:tcMar>
            <w:hideMark/>
          </w:tcPr>
          <w:p w14:paraId="7EA5ACFB" w14:textId="77777777" w:rsidR="003B1DDB" w:rsidRDefault="003B1DDB" w:rsidP="003B1DDB">
            <w:pPr>
              <w:rPr>
                <w:rFonts w:ascii="Arial" w:hAnsi="Arial" w:cs="Arial"/>
                <w:sz w:val="2"/>
                <w:szCs w:val="2"/>
              </w:rPr>
            </w:pPr>
          </w:p>
        </w:tc>
        <w:tc>
          <w:tcPr>
            <w:tcW w:w="840" w:type="dxa"/>
            <w:tcBorders>
              <w:bottom w:val="single" w:sz="6" w:space="0" w:color="0075C9"/>
            </w:tcBorders>
            <w:tcMar>
              <w:top w:w="0" w:type="dxa"/>
              <w:left w:w="0" w:type="dxa"/>
              <w:bottom w:w="40" w:type="dxa"/>
              <w:right w:w="0" w:type="dxa"/>
            </w:tcMar>
            <w:vAlign w:val="bottom"/>
            <w:hideMark/>
          </w:tcPr>
          <w:p w14:paraId="34EA071B" w14:textId="77777777" w:rsidR="003B1DDB" w:rsidRPr="00306F7C" w:rsidRDefault="003B1DDB" w:rsidP="003B1DDB">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0075C9"/>
            </w:tcBorders>
            <w:noWrap/>
            <w:tcMar>
              <w:top w:w="0" w:type="dxa"/>
              <w:left w:w="144" w:type="dxa"/>
              <w:bottom w:w="0" w:type="dxa"/>
              <w:right w:w="0" w:type="dxa"/>
            </w:tcMar>
            <w:vAlign w:val="bottom"/>
            <w:hideMark/>
          </w:tcPr>
          <w:p w14:paraId="111F5C45" w14:textId="64125A1A"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1664" w:type="dxa"/>
            <w:tcBorders>
              <w:bottom w:val="single" w:sz="6" w:space="0" w:color="0075C9"/>
            </w:tcBorders>
            <w:noWrap/>
            <w:tcMar>
              <w:top w:w="0" w:type="dxa"/>
              <w:left w:w="144" w:type="dxa"/>
              <w:bottom w:w="0" w:type="dxa"/>
              <w:right w:w="0" w:type="dxa"/>
            </w:tcMar>
            <w:vAlign w:val="bottom"/>
            <w:hideMark/>
          </w:tcPr>
          <w:p w14:paraId="7B238526" w14:textId="2F179481" w:rsidR="003B1DDB" w:rsidRPr="003B1DDB" w:rsidRDefault="003B1DDB" w:rsidP="003B1DDB">
            <w:pPr>
              <w:rPr>
                <w:rFonts w:ascii="Arial" w:hAnsi="Arial" w:cs="Arial"/>
                <w:color w:val="FFFFFF" w:themeColor="background1"/>
                <w:sz w:val="16"/>
                <w:szCs w:val="16"/>
              </w:rPr>
            </w:pPr>
            <w:r w:rsidRPr="003B1DDB">
              <w:rPr>
                <w:rFonts w:ascii="Arial" w:hAnsi="Arial" w:cs="Arial"/>
                <w:color w:val="FFFFFF" w:themeColor="background1"/>
                <w:sz w:val="16"/>
                <w:szCs w:val="16"/>
              </w:rPr>
              <w:t>NA</w:t>
            </w:r>
          </w:p>
        </w:tc>
        <w:tc>
          <w:tcPr>
            <w:tcW w:w="2264" w:type="dxa"/>
            <w:tcBorders>
              <w:bottom w:val="single" w:sz="6" w:space="0" w:color="0075C9"/>
            </w:tcBorders>
            <w:noWrap/>
            <w:tcMar>
              <w:top w:w="0" w:type="dxa"/>
              <w:left w:w="144" w:type="dxa"/>
              <w:bottom w:w="0" w:type="dxa"/>
              <w:right w:w="0" w:type="dxa"/>
            </w:tcMar>
            <w:vAlign w:val="bottom"/>
            <w:hideMark/>
          </w:tcPr>
          <w:p w14:paraId="1CB80AF4" w14:textId="77777777" w:rsidR="003B1DDB" w:rsidRPr="00306F7C" w:rsidRDefault="003B1DDB" w:rsidP="003B1DDB">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14,342</w:t>
            </w:r>
            <w:r>
              <w:rPr>
                <w:rFonts w:ascii="Arial" w:hAnsi="Arial" w:cs="Arial"/>
                <w:sz w:val="16"/>
                <w:szCs w:val="16"/>
              </w:rPr>
              <w:tab/>
            </w:r>
          </w:p>
        </w:tc>
        <w:tc>
          <w:tcPr>
            <w:tcW w:w="2124" w:type="dxa"/>
            <w:tcBorders>
              <w:bottom w:val="single" w:sz="6" w:space="0" w:color="0075C9"/>
            </w:tcBorders>
            <w:noWrap/>
            <w:tcMar>
              <w:top w:w="0" w:type="dxa"/>
              <w:left w:w="144" w:type="dxa"/>
              <w:bottom w:w="0" w:type="dxa"/>
              <w:right w:w="0" w:type="dxa"/>
            </w:tcMar>
            <w:vAlign w:val="bottom"/>
            <w:hideMark/>
          </w:tcPr>
          <w:p w14:paraId="5B88E7C3" w14:textId="77777777" w:rsidR="003B1DDB" w:rsidRDefault="003B1DDB" w:rsidP="003B1DDB">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4,884,365</w:t>
            </w:r>
            <w:r>
              <w:rPr>
                <w:rFonts w:ascii="Arial" w:hAnsi="Arial" w:cs="Arial"/>
                <w:sz w:val="16"/>
                <w:szCs w:val="16"/>
              </w:rPr>
              <w:tab/>
            </w:r>
          </w:p>
        </w:tc>
      </w:tr>
    </w:tbl>
    <w:p w14:paraId="06A47A07"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Vests 25% one year from the last business day of August preceding the award date and 12.5% semi-annually thereafter. </w:t>
      </w:r>
    </w:p>
    <w:p w14:paraId="6EEA0EA5"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market value is the number of shares shown in the table multiplied by $340.54, the closing market price of Microsoft common stock on June 30, 2023. </w:t>
      </w:r>
    </w:p>
    <w:p w14:paraId="2440C14F"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PSAs with a grant date in fiscal years 2023 and 2022 are reported assuming payout at maximum award levels, pursuant to SEC rules as the aggregate achievement of the performance metrics was trending above the target payout level as of June 30, 2023. Award shares that are earned </w:t>
      </w:r>
      <w:proofErr w:type="gramStart"/>
      <w:r>
        <w:rPr>
          <w:rFonts w:ascii="Arial" w:hAnsi="Arial" w:cs="Arial"/>
          <w:sz w:val="14"/>
          <w:szCs w:val="14"/>
        </w:rPr>
        <w:t>vest</w:t>
      </w:r>
      <w:proofErr w:type="gramEnd"/>
      <w:r>
        <w:rPr>
          <w:rFonts w:ascii="Arial" w:hAnsi="Arial" w:cs="Arial"/>
          <w:sz w:val="14"/>
          <w:szCs w:val="14"/>
        </w:rPr>
        <w:t xml:space="preserve"> in full following the three-year performance period. </w:t>
      </w:r>
    </w:p>
    <w:p w14:paraId="6344C6CB"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Reflects fiscal year 2021 PSA, with 3-year performance period ending June 30, 2023, which vested on August 31, 2023. Award shares are presented as the actual amount earned and vested on August 31, 2023. Award values reflect the closing market price of Microsoft common stock on June 30, 2023. </w:t>
      </w:r>
    </w:p>
    <w:p w14:paraId="608B4471"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Vests 25% on each November 11 following the award date. </w:t>
      </w:r>
    </w:p>
    <w:p w14:paraId="59CD9611" w14:textId="77777777" w:rsidR="00D246A9" w:rsidRDefault="00D246A9">
      <w:pPr>
        <w:pStyle w:val="NormalWeb"/>
        <w:spacing w:before="180" w:beforeAutospacing="0" w:after="0" w:afterAutospacing="0"/>
        <w:rPr>
          <w:sz w:val="2"/>
          <w:szCs w:val="2"/>
        </w:rPr>
      </w:pPr>
      <w:r>
        <w:rPr>
          <w:sz w:val="2"/>
          <w:szCs w:val="2"/>
        </w:rPr>
        <w:t> </w:t>
      </w:r>
    </w:p>
    <w:p w14:paraId="3F02DD0C" w14:textId="77777777" w:rsidR="00D246A9" w:rsidRDefault="00D246A9" w:rsidP="008E18EB">
      <w:pPr>
        <w:pStyle w:val="Heading4"/>
      </w:pPr>
      <w:bookmarkStart w:id="20" w:name="toc356108_21"/>
      <w:bookmarkEnd w:id="20"/>
      <w:r>
        <w:t xml:space="preserve">Option Exercises and Stock Vested </w:t>
      </w:r>
    </w:p>
    <w:p w14:paraId="6BE6EB2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provides information on an aggregate basis about stock awards that vested during the fiscal year ended June 30, 2023 for each of the Named Executives. </w:t>
      </w:r>
    </w:p>
    <w:p w14:paraId="14D8103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has not granted stock options, other than options substituted in acquisitions, since 2003. No Named Executives held any Microsoft stock options during the fiscal year. </w:t>
      </w:r>
    </w:p>
    <w:p w14:paraId="3FF1ACD2" w14:textId="77777777" w:rsidR="00D246A9" w:rsidRDefault="00D246A9">
      <w:pPr>
        <w:pStyle w:val="NormalWeb"/>
        <w:keepNext/>
        <w:spacing w:before="0" w:beforeAutospacing="0" w:after="0" w:afterAutospacing="0"/>
      </w:pPr>
      <w:r>
        <w:lastRenderedPageBreak/>
        <w:t> </w:t>
      </w:r>
    </w:p>
    <w:tbl>
      <w:tblPr>
        <w:tblW w:w="0" w:type="auto"/>
        <w:tblLayout w:type="fixed"/>
        <w:tblCellMar>
          <w:left w:w="0" w:type="dxa"/>
          <w:right w:w="0" w:type="dxa"/>
        </w:tblCellMar>
        <w:tblLook w:val="04A0" w:firstRow="1" w:lastRow="0" w:firstColumn="1" w:lastColumn="0" w:noHBand="0" w:noVBand="1"/>
      </w:tblPr>
      <w:tblGrid>
        <w:gridCol w:w="6612"/>
        <w:gridCol w:w="2104"/>
        <w:gridCol w:w="2084"/>
      </w:tblGrid>
      <w:tr w:rsidR="003B1DDB" w14:paraId="09DC096D" w14:textId="77777777" w:rsidTr="00FE0A0A">
        <w:trPr>
          <w:cantSplit/>
          <w:tblHeader/>
        </w:trPr>
        <w:tc>
          <w:tcPr>
            <w:tcW w:w="6612" w:type="dxa"/>
            <w:vMerge w:val="restart"/>
            <w:tcMar>
              <w:top w:w="0" w:type="dxa"/>
              <w:left w:w="144" w:type="dxa"/>
              <w:bottom w:w="0" w:type="dxa"/>
              <w:right w:w="0" w:type="dxa"/>
            </w:tcMar>
            <w:vAlign w:val="bottom"/>
            <w:hideMark/>
          </w:tcPr>
          <w:p w14:paraId="66E40FBD" w14:textId="77777777" w:rsidR="003B1DDB" w:rsidRPr="00306F7C" w:rsidRDefault="003B1DDB">
            <w:pPr>
              <w:pStyle w:val="la2"/>
              <w:keepNext/>
              <w:rPr>
                <w:rFonts w:ascii="Arial" w:hAnsi="Arial" w:cs="Arial"/>
                <w:sz w:val="18"/>
                <w:szCs w:val="18"/>
              </w:rPr>
            </w:pPr>
            <w:r>
              <w:rPr>
                <w:rFonts w:ascii="Arial" w:hAnsi="Arial" w:cs="Arial"/>
                <w:sz w:val="18"/>
                <w:szCs w:val="18"/>
              </w:rPr>
              <w:t> </w:t>
            </w:r>
          </w:p>
          <w:p w14:paraId="563CC26A" w14:textId="30D51338" w:rsidR="003B1DDB" w:rsidRDefault="003B1DDB" w:rsidP="003B1DDB">
            <w:pPr>
              <w:pStyle w:val="NormalWeb"/>
              <w:spacing w:before="0" w:beforeAutospacing="0" w:after="0" w:afterAutospacing="0"/>
              <w:rPr>
                <w:rFonts w:ascii="Arial" w:hAnsi="Arial" w:cs="Arial"/>
                <w:sz w:val="4"/>
                <w:szCs w:val="4"/>
              </w:rPr>
            </w:pPr>
            <w:r>
              <w:rPr>
                <w:rFonts w:ascii="Arial" w:hAnsi="Arial" w:cs="Arial"/>
                <w:b/>
                <w:bCs/>
                <w:sz w:val="18"/>
                <w:szCs w:val="18"/>
              </w:rPr>
              <w:t>Named Executive</w:t>
            </w:r>
          </w:p>
        </w:tc>
        <w:tc>
          <w:tcPr>
            <w:tcW w:w="4188" w:type="dxa"/>
            <w:gridSpan w:val="2"/>
            <w:tcBorders>
              <w:bottom w:val="single" w:sz="6" w:space="0" w:color="000000"/>
            </w:tcBorders>
            <w:tcMar>
              <w:top w:w="0" w:type="dxa"/>
              <w:left w:w="144" w:type="dxa"/>
              <w:bottom w:w="0" w:type="dxa"/>
              <w:right w:w="0" w:type="dxa"/>
            </w:tcMar>
            <w:vAlign w:val="bottom"/>
            <w:hideMark/>
          </w:tcPr>
          <w:p w14:paraId="73FB46E7" w14:textId="77777777" w:rsidR="003B1DDB" w:rsidRDefault="003B1DDB">
            <w:pPr>
              <w:jc w:val="center"/>
              <w:rPr>
                <w:rFonts w:ascii="Arial" w:hAnsi="Arial" w:cs="Arial"/>
                <w:sz w:val="18"/>
                <w:szCs w:val="18"/>
              </w:rPr>
            </w:pPr>
            <w:r>
              <w:rPr>
                <w:rFonts w:ascii="Arial" w:hAnsi="Arial" w:cs="Arial"/>
                <w:b/>
                <w:bCs/>
                <w:sz w:val="18"/>
                <w:szCs w:val="18"/>
              </w:rPr>
              <w:t>Stock Awards</w:t>
            </w:r>
          </w:p>
        </w:tc>
      </w:tr>
      <w:tr w:rsidR="003B1DDB" w14:paraId="216EE820" w14:textId="77777777" w:rsidTr="00FE0A0A">
        <w:trPr>
          <w:cantSplit/>
          <w:tblHeader/>
        </w:trPr>
        <w:tc>
          <w:tcPr>
            <w:tcW w:w="6612" w:type="dxa"/>
            <w:vMerge/>
            <w:tcBorders>
              <w:bottom w:val="single" w:sz="8" w:space="0" w:color="000000"/>
            </w:tcBorders>
            <w:tcMar>
              <w:top w:w="0" w:type="dxa"/>
              <w:left w:w="0" w:type="dxa"/>
              <w:bottom w:w="40" w:type="dxa"/>
              <w:right w:w="0" w:type="dxa"/>
            </w:tcMar>
            <w:vAlign w:val="bottom"/>
            <w:hideMark/>
          </w:tcPr>
          <w:p w14:paraId="596257AA" w14:textId="1D725D32" w:rsidR="003B1DDB" w:rsidRPr="00306F7C" w:rsidRDefault="003B1DDB">
            <w:pPr>
              <w:pStyle w:val="NormalWeb"/>
              <w:keepNext/>
              <w:spacing w:before="0" w:beforeAutospacing="0" w:after="20" w:afterAutospacing="0"/>
              <w:ind w:firstLine="106"/>
              <w:rPr>
                <w:rFonts w:ascii="Arial" w:hAnsi="Arial" w:cs="Arial"/>
                <w:sz w:val="18"/>
                <w:szCs w:val="18"/>
              </w:rPr>
            </w:pPr>
          </w:p>
        </w:tc>
        <w:tc>
          <w:tcPr>
            <w:tcW w:w="2104" w:type="dxa"/>
            <w:tcBorders>
              <w:bottom w:val="single" w:sz="8" w:space="0" w:color="000000"/>
            </w:tcBorders>
            <w:tcMar>
              <w:top w:w="0" w:type="dxa"/>
              <w:left w:w="144" w:type="dxa"/>
              <w:bottom w:w="0" w:type="dxa"/>
              <w:right w:w="0" w:type="dxa"/>
            </w:tcMar>
            <w:vAlign w:val="bottom"/>
            <w:hideMark/>
          </w:tcPr>
          <w:p w14:paraId="2CC9F006" w14:textId="77777777" w:rsidR="003B1DDB" w:rsidRDefault="003B1DDB">
            <w:pPr>
              <w:pStyle w:val="NormalWeb"/>
              <w:spacing w:before="0" w:beforeAutospacing="0" w:after="0" w:afterAutospacing="0"/>
              <w:jc w:val="right"/>
              <w:rPr>
                <w:rFonts w:ascii="Arial" w:hAnsi="Arial" w:cs="Arial"/>
                <w:sz w:val="18"/>
                <w:szCs w:val="18"/>
              </w:rPr>
            </w:pPr>
            <w:r>
              <w:rPr>
                <w:rFonts w:ascii="Arial" w:hAnsi="Arial" w:cs="Arial"/>
                <w:b/>
                <w:bCs/>
                <w:sz w:val="18"/>
                <w:szCs w:val="18"/>
              </w:rPr>
              <w:t>Number of Shares</w:t>
            </w:r>
          </w:p>
          <w:p w14:paraId="5A09D2CC" w14:textId="77777777" w:rsidR="003B1DDB" w:rsidRDefault="003B1DDB">
            <w:pPr>
              <w:pStyle w:val="NormalWeb"/>
              <w:spacing w:before="0" w:beforeAutospacing="0" w:after="0" w:afterAutospacing="0"/>
              <w:jc w:val="right"/>
              <w:rPr>
                <w:rFonts w:ascii="Arial" w:hAnsi="Arial" w:cs="Arial"/>
                <w:sz w:val="18"/>
                <w:szCs w:val="18"/>
              </w:rPr>
            </w:pPr>
            <w:r>
              <w:rPr>
                <w:rFonts w:ascii="Arial" w:hAnsi="Arial" w:cs="Arial"/>
                <w:b/>
                <w:bCs/>
                <w:sz w:val="18"/>
                <w:szCs w:val="18"/>
              </w:rPr>
              <w:t>Acquired on Vesting</w:t>
            </w:r>
          </w:p>
          <w:p w14:paraId="45E8B3ED" w14:textId="77777777" w:rsidR="003B1DDB" w:rsidRDefault="003B1DDB">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2084" w:type="dxa"/>
            <w:tcBorders>
              <w:bottom w:val="single" w:sz="8" w:space="0" w:color="000000"/>
            </w:tcBorders>
            <w:tcMar>
              <w:top w:w="0" w:type="dxa"/>
              <w:left w:w="144" w:type="dxa"/>
              <w:bottom w:w="0" w:type="dxa"/>
              <w:right w:w="0" w:type="dxa"/>
            </w:tcMar>
            <w:vAlign w:val="bottom"/>
            <w:hideMark/>
          </w:tcPr>
          <w:p w14:paraId="0B4B6072" w14:textId="77777777" w:rsidR="003B1DDB" w:rsidRDefault="003B1DDB">
            <w:pPr>
              <w:pStyle w:val="NormalWeb"/>
              <w:spacing w:before="0" w:beforeAutospacing="0" w:after="0" w:afterAutospacing="0"/>
              <w:jc w:val="right"/>
              <w:rPr>
                <w:rFonts w:ascii="Arial" w:hAnsi="Arial" w:cs="Arial"/>
                <w:sz w:val="18"/>
                <w:szCs w:val="18"/>
              </w:rPr>
            </w:pPr>
            <w:r>
              <w:rPr>
                <w:rFonts w:ascii="Arial" w:hAnsi="Arial" w:cs="Arial"/>
                <w:b/>
                <w:bCs/>
                <w:sz w:val="18"/>
                <w:szCs w:val="18"/>
              </w:rPr>
              <w:t>         Value Realized</w:t>
            </w:r>
          </w:p>
          <w:p w14:paraId="65BFA49E" w14:textId="77777777" w:rsidR="003B1DDB" w:rsidRDefault="003B1DDB">
            <w:pPr>
              <w:pStyle w:val="NormalWeb"/>
              <w:spacing w:before="0" w:beforeAutospacing="0" w:after="0" w:afterAutospacing="0"/>
              <w:jc w:val="right"/>
              <w:rPr>
                <w:rFonts w:ascii="Arial" w:hAnsi="Arial" w:cs="Arial"/>
                <w:sz w:val="18"/>
                <w:szCs w:val="18"/>
              </w:rPr>
            </w:pPr>
            <w:r>
              <w:rPr>
                <w:rFonts w:ascii="Arial" w:hAnsi="Arial" w:cs="Arial"/>
                <w:b/>
                <w:bCs/>
                <w:sz w:val="18"/>
                <w:szCs w:val="18"/>
              </w:rPr>
              <w:t>on Vesting</w:t>
            </w:r>
            <w:r>
              <w:rPr>
                <w:rFonts w:ascii="Arial" w:hAnsi="Arial" w:cs="Arial"/>
                <w:b/>
                <w:bCs/>
                <w:sz w:val="14"/>
                <w:szCs w:val="14"/>
                <w:vertAlign w:val="superscript"/>
              </w:rPr>
              <w:t>1</w:t>
            </w:r>
          </w:p>
          <w:p w14:paraId="041B2BE0" w14:textId="77777777" w:rsidR="003B1DDB" w:rsidRDefault="003B1DDB">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r>
      <w:tr w:rsidR="00D246A9" w14:paraId="0E812B01" w14:textId="77777777" w:rsidTr="00FE0A0A">
        <w:trPr>
          <w:cantSplit/>
        </w:trPr>
        <w:tc>
          <w:tcPr>
            <w:tcW w:w="6612" w:type="dxa"/>
            <w:tcBorders>
              <w:bottom w:val="single" w:sz="6" w:space="0" w:color="0075C9"/>
            </w:tcBorders>
            <w:tcMar>
              <w:top w:w="0" w:type="dxa"/>
              <w:left w:w="0" w:type="dxa"/>
              <w:bottom w:w="40" w:type="dxa"/>
              <w:right w:w="0" w:type="dxa"/>
            </w:tcMar>
            <w:hideMark/>
          </w:tcPr>
          <w:p w14:paraId="1749E37F"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2104" w:type="dxa"/>
            <w:tcBorders>
              <w:bottom w:val="single" w:sz="6" w:space="0" w:color="0075C9"/>
            </w:tcBorders>
            <w:noWrap/>
            <w:tcMar>
              <w:top w:w="0" w:type="dxa"/>
              <w:left w:w="144" w:type="dxa"/>
              <w:bottom w:w="0" w:type="dxa"/>
              <w:right w:w="0" w:type="dxa"/>
            </w:tcMar>
            <w:vAlign w:val="bottom"/>
            <w:hideMark/>
          </w:tcPr>
          <w:p w14:paraId="08A93158" w14:textId="77777777" w:rsidR="00D246A9" w:rsidRDefault="00D246A9">
            <w:pPr>
              <w:pStyle w:val="NormalWeb"/>
              <w:tabs>
                <w:tab w:val="right" w:pos="1920"/>
                <w:tab w:val="decimal" w:pos="1960"/>
              </w:tabs>
              <w:spacing w:before="0" w:beforeAutospacing="0" w:after="20" w:afterAutospacing="0"/>
              <w:rPr>
                <w:rFonts w:ascii="Arial" w:hAnsi="Arial" w:cs="Arial"/>
                <w:sz w:val="18"/>
                <w:szCs w:val="18"/>
              </w:rPr>
            </w:pPr>
            <w:r>
              <w:rPr>
                <w:rFonts w:ascii="Arial" w:hAnsi="Arial" w:cs="Arial"/>
                <w:sz w:val="18"/>
                <w:szCs w:val="18"/>
              </w:rPr>
              <w:tab/>
              <w:t>206,470</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5DD6A4E7"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54,122,591</w:t>
            </w:r>
            <w:r>
              <w:rPr>
                <w:rFonts w:ascii="Arial" w:hAnsi="Arial" w:cs="Arial"/>
                <w:sz w:val="18"/>
                <w:szCs w:val="18"/>
              </w:rPr>
              <w:tab/>
            </w:r>
          </w:p>
        </w:tc>
      </w:tr>
      <w:tr w:rsidR="00D246A9" w14:paraId="32E32B21" w14:textId="77777777" w:rsidTr="00FE0A0A">
        <w:trPr>
          <w:cantSplit/>
        </w:trPr>
        <w:tc>
          <w:tcPr>
            <w:tcW w:w="6612" w:type="dxa"/>
            <w:tcBorders>
              <w:bottom w:val="single" w:sz="6" w:space="0" w:color="0075C9"/>
            </w:tcBorders>
            <w:tcMar>
              <w:top w:w="0" w:type="dxa"/>
              <w:left w:w="0" w:type="dxa"/>
              <w:bottom w:w="40" w:type="dxa"/>
              <w:right w:w="0" w:type="dxa"/>
            </w:tcMar>
            <w:hideMark/>
          </w:tcPr>
          <w:p w14:paraId="3DE54B98"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2104" w:type="dxa"/>
            <w:tcBorders>
              <w:bottom w:val="single" w:sz="6" w:space="0" w:color="0075C9"/>
            </w:tcBorders>
            <w:noWrap/>
            <w:tcMar>
              <w:top w:w="0" w:type="dxa"/>
              <w:left w:w="144" w:type="dxa"/>
              <w:bottom w:w="0" w:type="dxa"/>
              <w:right w:w="0" w:type="dxa"/>
            </w:tcMar>
            <w:vAlign w:val="bottom"/>
            <w:hideMark/>
          </w:tcPr>
          <w:p w14:paraId="2091CE9A" w14:textId="77777777" w:rsidR="00D246A9" w:rsidRDefault="00D246A9">
            <w:pPr>
              <w:pStyle w:val="NormalWeb"/>
              <w:tabs>
                <w:tab w:val="right" w:pos="1920"/>
                <w:tab w:val="decimal" w:pos="1960"/>
              </w:tabs>
              <w:spacing w:before="0" w:beforeAutospacing="0" w:after="20" w:afterAutospacing="0"/>
              <w:rPr>
                <w:rFonts w:ascii="Arial" w:hAnsi="Arial" w:cs="Arial"/>
                <w:sz w:val="18"/>
                <w:szCs w:val="18"/>
              </w:rPr>
            </w:pPr>
            <w:r>
              <w:rPr>
                <w:rFonts w:ascii="Arial" w:hAnsi="Arial" w:cs="Arial"/>
                <w:sz w:val="18"/>
                <w:szCs w:val="18"/>
              </w:rPr>
              <w:tab/>
              <w:t>107,679</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14AFAF42"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28,164,890</w:t>
            </w:r>
            <w:r>
              <w:rPr>
                <w:rFonts w:ascii="Arial" w:hAnsi="Arial" w:cs="Arial"/>
                <w:sz w:val="18"/>
                <w:szCs w:val="18"/>
              </w:rPr>
              <w:tab/>
            </w:r>
          </w:p>
        </w:tc>
      </w:tr>
      <w:tr w:rsidR="00D246A9" w14:paraId="44526B8F" w14:textId="77777777" w:rsidTr="00FE0A0A">
        <w:trPr>
          <w:cantSplit/>
        </w:trPr>
        <w:tc>
          <w:tcPr>
            <w:tcW w:w="6612" w:type="dxa"/>
            <w:tcBorders>
              <w:bottom w:val="single" w:sz="6" w:space="0" w:color="0075C9"/>
            </w:tcBorders>
            <w:tcMar>
              <w:top w:w="0" w:type="dxa"/>
              <w:left w:w="0" w:type="dxa"/>
              <w:bottom w:w="40" w:type="dxa"/>
              <w:right w:w="0" w:type="dxa"/>
            </w:tcMar>
            <w:hideMark/>
          </w:tcPr>
          <w:p w14:paraId="2747CC8E"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2104" w:type="dxa"/>
            <w:tcBorders>
              <w:bottom w:val="single" w:sz="6" w:space="0" w:color="0075C9"/>
            </w:tcBorders>
            <w:noWrap/>
            <w:tcMar>
              <w:top w:w="0" w:type="dxa"/>
              <w:left w:w="144" w:type="dxa"/>
              <w:bottom w:w="0" w:type="dxa"/>
              <w:right w:w="0" w:type="dxa"/>
            </w:tcMar>
            <w:vAlign w:val="bottom"/>
            <w:hideMark/>
          </w:tcPr>
          <w:p w14:paraId="087F2EF8" w14:textId="77777777" w:rsidR="00D246A9" w:rsidRDefault="00D246A9">
            <w:pPr>
              <w:pStyle w:val="NormalWeb"/>
              <w:tabs>
                <w:tab w:val="right" w:pos="1920"/>
                <w:tab w:val="decimal" w:pos="1960"/>
              </w:tabs>
              <w:spacing w:before="0" w:beforeAutospacing="0" w:after="20" w:afterAutospacing="0"/>
              <w:rPr>
                <w:rFonts w:ascii="Arial" w:hAnsi="Arial" w:cs="Arial"/>
                <w:sz w:val="18"/>
                <w:szCs w:val="18"/>
              </w:rPr>
            </w:pPr>
            <w:r>
              <w:rPr>
                <w:rFonts w:ascii="Arial" w:hAnsi="Arial" w:cs="Arial"/>
                <w:sz w:val="18"/>
                <w:szCs w:val="18"/>
              </w:rPr>
              <w:tab/>
              <w:t>63,814</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1239893C"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16,684,477</w:t>
            </w:r>
            <w:r>
              <w:rPr>
                <w:rFonts w:ascii="Arial" w:hAnsi="Arial" w:cs="Arial"/>
                <w:sz w:val="18"/>
                <w:szCs w:val="18"/>
              </w:rPr>
              <w:tab/>
            </w:r>
          </w:p>
        </w:tc>
      </w:tr>
      <w:tr w:rsidR="00D246A9" w14:paraId="7623D95B" w14:textId="77777777" w:rsidTr="00FE0A0A">
        <w:trPr>
          <w:cantSplit/>
        </w:trPr>
        <w:tc>
          <w:tcPr>
            <w:tcW w:w="6612" w:type="dxa"/>
            <w:tcBorders>
              <w:bottom w:val="single" w:sz="6" w:space="0" w:color="0075C9"/>
            </w:tcBorders>
            <w:tcMar>
              <w:top w:w="0" w:type="dxa"/>
              <w:left w:w="0" w:type="dxa"/>
              <w:bottom w:w="40" w:type="dxa"/>
              <w:right w:w="0" w:type="dxa"/>
            </w:tcMar>
            <w:hideMark/>
          </w:tcPr>
          <w:p w14:paraId="65037C30"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2104" w:type="dxa"/>
            <w:tcBorders>
              <w:bottom w:val="single" w:sz="6" w:space="0" w:color="0075C9"/>
            </w:tcBorders>
            <w:noWrap/>
            <w:tcMar>
              <w:top w:w="0" w:type="dxa"/>
              <w:left w:w="144" w:type="dxa"/>
              <w:bottom w:w="0" w:type="dxa"/>
              <w:right w:w="0" w:type="dxa"/>
            </w:tcMar>
            <w:vAlign w:val="bottom"/>
            <w:hideMark/>
          </w:tcPr>
          <w:p w14:paraId="51C01EFE" w14:textId="77777777" w:rsidR="00D246A9" w:rsidRDefault="00D246A9">
            <w:pPr>
              <w:pStyle w:val="NormalWeb"/>
              <w:tabs>
                <w:tab w:val="right" w:pos="1920"/>
                <w:tab w:val="decimal" w:pos="1960"/>
              </w:tabs>
              <w:spacing w:before="0" w:beforeAutospacing="0" w:after="20" w:afterAutospacing="0"/>
              <w:rPr>
                <w:rFonts w:ascii="Arial" w:hAnsi="Arial" w:cs="Arial"/>
                <w:sz w:val="18"/>
                <w:szCs w:val="18"/>
              </w:rPr>
            </w:pPr>
            <w:r>
              <w:rPr>
                <w:rFonts w:ascii="Arial" w:hAnsi="Arial" w:cs="Arial"/>
                <w:sz w:val="18"/>
                <w:szCs w:val="18"/>
              </w:rPr>
              <w:tab/>
              <w:t>89,534</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5271E325"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23,414,912</w:t>
            </w:r>
            <w:r>
              <w:rPr>
                <w:rFonts w:ascii="Arial" w:hAnsi="Arial" w:cs="Arial"/>
                <w:sz w:val="18"/>
                <w:szCs w:val="18"/>
              </w:rPr>
              <w:tab/>
            </w:r>
          </w:p>
        </w:tc>
      </w:tr>
      <w:tr w:rsidR="00D246A9" w14:paraId="0E6ACBE6" w14:textId="77777777" w:rsidTr="00FE0A0A">
        <w:trPr>
          <w:cantSplit/>
        </w:trPr>
        <w:tc>
          <w:tcPr>
            <w:tcW w:w="6612" w:type="dxa"/>
            <w:tcBorders>
              <w:bottom w:val="single" w:sz="6" w:space="0" w:color="0075C9"/>
            </w:tcBorders>
            <w:tcMar>
              <w:top w:w="0" w:type="dxa"/>
              <w:left w:w="0" w:type="dxa"/>
              <w:bottom w:w="40" w:type="dxa"/>
              <w:right w:w="0" w:type="dxa"/>
            </w:tcMar>
            <w:hideMark/>
          </w:tcPr>
          <w:p w14:paraId="0EFBE284"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2104" w:type="dxa"/>
            <w:tcBorders>
              <w:bottom w:val="single" w:sz="6" w:space="0" w:color="0075C9"/>
            </w:tcBorders>
            <w:noWrap/>
            <w:tcMar>
              <w:top w:w="0" w:type="dxa"/>
              <w:left w:w="144" w:type="dxa"/>
              <w:bottom w:w="0" w:type="dxa"/>
              <w:right w:w="0" w:type="dxa"/>
            </w:tcMar>
            <w:vAlign w:val="bottom"/>
            <w:hideMark/>
          </w:tcPr>
          <w:p w14:paraId="702D9C9F" w14:textId="77777777" w:rsidR="00D246A9" w:rsidRDefault="00D246A9">
            <w:pPr>
              <w:pStyle w:val="NormalWeb"/>
              <w:tabs>
                <w:tab w:val="right" w:pos="1920"/>
                <w:tab w:val="decimal" w:pos="1960"/>
              </w:tabs>
              <w:spacing w:before="0" w:beforeAutospacing="0" w:after="20" w:afterAutospacing="0"/>
              <w:rPr>
                <w:rFonts w:ascii="Arial" w:hAnsi="Arial" w:cs="Arial"/>
                <w:sz w:val="18"/>
                <w:szCs w:val="18"/>
              </w:rPr>
            </w:pPr>
            <w:r>
              <w:rPr>
                <w:rFonts w:ascii="Arial" w:hAnsi="Arial" w:cs="Arial"/>
                <w:sz w:val="18"/>
                <w:szCs w:val="18"/>
              </w:rPr>
              <w:tab/>
              <w:t>29,768</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20DE6238"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7,365,064</w:t>
            </w:r>
            <w:r>
              <w:rPr>
                <w:rFonts w:ascii="Arial" w:hAnsi="Arial" w:cs="Arial"/>
                <w:sz w:val="18"/>
                <w:szCs w:val="18"/>
              </w:rPr>
              <w:tab/>
            </w:r>
          </w:p>
        </w:tc>
      </w:tr>
    </w:tbl>
    <w:p w14:paraId="321CE9F5"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 value realized on vesting is calculated by multiplying the number of shares shown in the table by the market value of the shares on the vesting date. </w:t>
      </w:r>
    </w:p>
    <w:p w14:paraId="1A4826B6" w14:textId="77777777" w:rsidR="00D246A9" w:rsidRDefault="00D246A9" w:rsidP="008E18EB">
      <w:pPr>
        <w:pStyle w:val="Heading4"/>
      </w:pPr>
      <w:bookmarkStart w:id="21" w:name="toc356108_22"/>
      <w:bookmarkEnd w:id="21"/>
      <w:r>
        <w:t xml:space="preserve">Nonqualified Deferred Compensation </w:t>
      </w:r>
    </w:p>
    <w:p w14:paraId="5D01CB4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provides information about the Named Executives’ earnings and balances under our U.S. nonqualified Deferred Compensation Plan in fiscal year 2023. Microsoft does not contribute to the Deferred Compensation Plan. </w:t>
      </w:r>
    </w:p>
    <w:p w14:paraId="28DFBD8E"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808"/>
        <w:gridCol w:w="1664"/>
        <w:gridCol w:w="2244"/>
        <w:gridCol w:w="2084"/>
      </w:tblGrid>
      <w:tr w:rsidR="00D246A9" w14:paraId="015AC2AF" w14:textId="77777777" w:rsidTr="00FE0A0A">
        <w:trPr>
          <w:cantSplit/>
          <w:tblHeader/>
        </w:trPr>
        <w:tc>
          <w:tcPr>
            <w:tcW w:w="4808" w:type="dxa"/>
            <w:tcBorders>
              <w:bottom w:val="single" w:sz="8" w:space="0" w:color="000000"/>
            </w:tcBorders>
            <w:tcMar>
              <w:top w:w="0" w:type="dxa"/>
              <w:left w:w="0" w:type="dxa"/>
              <w:bottom w:w="40" w:type="dxa"/>
              <w:right w:w="0" w:type="dxa"/>
            </w:tcMar>
            <w:vAlign w:val="bottom"/>
            <w:hideMark/>
          </w:tcPr>
          <w:p w14:paraId="09AD8E1C"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1664" w:type="dxa"/>
            <w:tcBorders>
              <w:bottom w:val="single" w:sz="8" w:space="0" w:color="000000"/>
            </w:tcBorders>
            <w:tcMar>
              <w:top w:w="0" w:type="dxa"/>
              <w:left w:w="144" w:type="dxa"/>
              <w:bottom w:w="0" w:type="dxa"/>
              <w:right w:w="0" w:type="dxa"/>
            </w:tcMar>
            <w:vAlign w:val="bottom"/>
            <w:hideMark/>
          </w:tcPr>
          <w:p w14:paraId="6231871C" w14:textId="77777777" w:rsidR="00D246A9" w:rsidRDefault="00D246A9">
            <w:pPr>
              <w:jc w:val="right"/>
              <w:rPr>
                <w:rFonts w:ascii="Arial" w:hAnsi="Arial" w:cs="Arial"/>
                <w:sz w:val="18"/>
                <w:szCs w:val="18"/>
              </w:rPr>
            </w:pPr>
            <w:r>
              <w:rPr>
                <w:rFonts w:ascii="Arial" w:hAnsi="Arial" w:cs="Arial"/>
                <w:b/>
                <w:bCs/>
                <w:sz w:val="18"/>
                <w:szCs w:val="18"/>
              </w:rPr>
              <w:t>Executive</w:t>
            </w:r>
            <w:r>
              <w:rPr>
                <w:rFonts w:ascii="Arial" w:hAnsi="Arial" w:cs="Arial"/>
                <w:b/>
                <w:bCs/>
                <w:sz w:val="18"/>
                <w:szCs w:val="18"/>
              </w:rPr>
              <w:br/>
              <w:t>Contributions in</w:t>
            </w:r>
            <w:r>
              <w:rPr>
                <w:rFonts w:ascii="Arial" w:hAnsi="Arial" w:cs="Arial"/>
                <w:b/>
                <w:bCs/>
                <w:sz w:val="18"/>
                <w:szCs w:val="18"/>
              </w:rPr>
              <w:br/>
              <w:t>Fiscal </w:t>
            </w:r>
            <w:proofErr w:type="gramStart"/>
            <w:r>
              <w:rPr>
                <w:rFonts w:ascii="Arial" w:hAnsi="Arial" w:cs="Arial"/>
                <w:b/>
                <w:bCs/>
                <w:sz w:val="18"/>
                <w:szCs w:val="18"/>
              </w:rPr>
              <w:t>Year  2023</w:t>
            </w:r>
            <w:r>
              <w:rPr>
                <w:rFonts w:ascii="Arial" w:hAnsi="Arial" w:cs="Arial"/>
                <w:b/>
                <w:bCs/>
                <w:sz w:val="14"/>
                <w:szCs w:val="14"/>
                <w:vertAlign w:val="superscript"/>
              </w:rPr>
              <w:t>1</w:t>
            </w:r>
            <w:proofErr w:type="gramEnd"/>
            <w:r>
              <w:rPr>
                <w:rFonts w:ascii="Arial" w:hAnsi="Arial" w:cs="Arial"/>
                <w:b/>
                <w:bCs/>
                <w:sz w:val="18"/>
                <w:szCs w:val="18"/>
              </w:rPr>
              <w:br/>
              <w:t>($)</w:t>
            </w:r>
          </w:p>
        </w:tc>
        <w:tc>
          <w:tcPr>
            <w:tcW w:w="2244" w:type="dxa"/>
            <w:tcBorders>
              <w:bottom w:val="single" w:sz="8" w:space="0" w:color="000000"/>
            </w:tcBorders>
            <w:tcMar>
              <w:top w:w="0" w:type="dxa"/>
              <w:left w:w="144" w:type="dxa"/>
              <w:bottom w:w="0" w:type="dxa"/>
              <w:right w:w="0" w:type="dxa"/>
            </w:tcMar>
            <w:vAlign w:val="bottom"/>
            <w:hideMark/>
          </w:tcPr>
          <w:p w14:paraId="21192D31" w14:textId="77777777" w:rsidR="00D246A9" w:rsidRPr="00306F7C"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Aggregate</w:t>
            </w:r>
            <w:r>
              <w:rPr>
                <w:rFonts w:ascii="Arial" w:hAnsi="Arial" w:cs="Arial"/>
                <w:b/>
                <w:bCs/>
                <w:sz w:val="18"/>
                <w:szCs w:val="18"/>
              </w:rPr>
              <w:br/>
              <w:t>Earnings in</w:t>
            </w:r>
            <w:r>
              <w:rPr>
                <w:rFonts w:ascii="Arial" w:hAnsi="Arial" w:cs="Arial"/>
                <w:b/>
                <w:bCs/>
                <w:sz w:val="18"/>
                <w:szCs w:val="18"/>
              </w:rPr>
              <w:br/>
              <w:t>Fiscal Year 2023</w:t>
            </w:r>
            <w:r>
              <w:rPr>
                <w:rFonts w:ascii="Arial" w:hAnsi="Arial" w:cs="Arial"/>
                <w:b/>
                <w:bCs/>
                <w:sz w:val="14"/>
                <w:szCs w:val="14"/>
                <w:vertAlign w:val="superscript"/>
              </w:rPr>
              <w:t>2</w:t>
            </w:r>
          </w:p>
          <w:p w14:paraId="5DE7797B"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2084" w:type="dxa"/>
            <w:tcBorders>
              <w:bottom w:val="single" w:sz="8" w:space="0" w:color="000000"/>
            </w:tcBorders>
            <w:tcMar>
              <w:top w:w="0" w:type="dxa"/>
              <w:left w:w="144" w:type="dxa"/>
              <w:bottom w:w="0" w:type="dxa"/>
              <w:right w:w="0" w:type="dxa"/>
            </w:tcMar>
            <w:vAlign w:val="bottom"/>
            <w:hideMark/>
          </w:tcPr>
          <w:p w14:paraId="142C44DE" w14:textId="77777777" w:rsidR="00D246A9" w:rsidRDefault="00D246A9">
            <w:pPr>
              <w:jc w:val="right"/>
              <w:rPr>
                <w:rFonts w:ascii="Arial" w:hAnsi="Arial" w:cs="Arial"/>
                <w:sz w:val="18"/>
                <w:szCs w:val="18"/>
              </w:rPr>
            </w:pPr>
            <w:r>
              <w:rPr>
                <w:rFonts w:ascii="Arial" w:hAnsi="Arial" w:cs="Arial"/>
                <w:b/>
                <w:bCs/>
                <w:sz w:val="18"/>
                <w:szCs w:val="18"/>
              </w:rPr>
              <w:t>Aggregate</w:t>
            </w:r>
            <w:r>
              <w:rPr>
                <w:rFonts w:ascii="Arial" w:hAnsi="Arial" w:cs="Arial"/>
                <w:b/>
                <w:bCs/>
                <w:sz w:val="18"/>
                <w:szCs w:val="18"/>
              </w:rPr>
              <w:br/>
              <w:t>Balance at</w:t>
            </w:r>
            <w:r>
              <w:rPr>
                <w:rFonts w:ascii="Arial" w:hAnsi="Arial" w:cs="Arial"/>
                <w:b/>
                <w:bCs/>
                <w:sz w:val="18"/>
                <w:szCs w:val="18"/>
              </w:rPr>
              <w:br/>
              <w:t>June 30, 2023</w:t>
            </w:r>
            <w:r>
              <w:rPr>
                <w:rFonts w:ascii="Arial" w:hAnsi="Arial" w:cs="Arial"/>
                <w:b/>
                <w:bCs/>
                <w:sz w:val="14"/>
                <w:szCs w:val="14"/>
                <w:vertAlign w:val="superscript"/>
              </w:rPr>
              <w:t>3</w:t>
            </w:r>
            <w:r>
              <w:rPr>
                <w:rFonts w:ascii="Arial" w:hAnsi="Arial" w:cs="Arial"/>
                <w:b/>
                <w:bCs/>
                <w:sz w:val="18"/>
                <w:szCs w:val="18"/>
              </w:rPr>
              <w:br/>
              <w:t>($)</w:t>
            </w:r>
          </w:p>
        </w:tc>
      </w:tr>
      <w:tr w:rsidR="00D246A9" w14:paraId="0CAF3BF7" w14:textId="77777777" w:rsidTr="00FE0A0A">
        <w:trPr>
          <w:cantSplit/>
        </w:trPr>
        <w:tc>
          <w:tcPr>
            <w:tcW w:w="4808" w:type="dxa"/>
            <w:tcBorders>
              <w:bottom w:val="single" w:sz="6" w:space="0" w:color="0075C9"/>
            </w:tcBorders>
            <w:tcMar>
              <w:top w:w="0" w:type="dxa"/>
              <w:left w:w="0" w:type="dxa"/>
              <w:bottom w:w="40" w:type="dxa"/>
              <w:right w:w="0" w:type="dxa"/>
            </w:tcMar>
            <w:hideMark/>
          </w:tcPr>
          <w:p w14:paraId="57D14CEC"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664" w:type="dxa"/>
            <w:tcBorders>
              <w:bottom w:val="single" w:sz="6" w:space="0" w:color="0075C9"/>
            </w:tcBorders>
            <w:noWrap/>
            <w:tcMar>
              <w:top w:w="0" w:type="dxa"/>
              <w:left w:w="144" w:type="dxa"/>
              <w:bottom w:w="0" w:type="dxa"/>
              <w:right w:w="0" w:type="dxa"/>
            </w:tcMar>
            <w:vAlign w:val="bottom"/>
            <w:hideMark/>
          </w:tcPr>
          <w:p w14:paraId="1380D5F9" w14:textId="77777777" w:rsidR="00D246A9" w:rsidRDefault="00D246A9">
            <w:pPr>
              <w:pStyle w:val="NormalWeb"/>
              <w:tabs>
                <w:tab w:val="right" w:pos="1480"/>
                <w:tab w:val="decimal" w:pos="152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244" w:type="dxa"/>
            <w:tcBorders>
              <w:bottom w:val="single" w:sz="6" w:space="0" w:color="0075C9"/>
            </w:tcBorders>
            <w:noWrap/>
            <w:tcMar>
              <w:top w:w="0" w:type="dxa"/>
              <w:left w:w="144" w:type="dxa"/>
              <w:bottom w:w="0" w:type="dxa"/>
              <w:right w:w="0" w:type="dxa"/>
            </w:tcMar>
            <w:vAlign w:val="bottom"/>
            <w:hideMark/>
          </w:tcPr>
          <w:p w14:paraId="509D7BEF" w14:textId="77777777" w:rsidR="00D246A9" w:rsidRDefault="00D246A9">
            <w:pPr>
              <w:pStyle w:val="NormalWeb"/>
              <w:tabs>
                <w:tab w:val="right" w:pos="2060"/>
                <w:tab w:val="decimal" w:pos="2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44A86ECB"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D246A9" w14:paraId="4BC3B1C2" w14:textId="77777777" w:rsidTr="00FE0A0A">
        <w:trPr>
          <w:cantSplit/>
        </w:trPr>
        <w:tc>
          <w:tcPr>
            <w:tcW w:w="4808" w:type="dxa"/>
            <w:tcBorders>
              <w:bottom w:val="single" w:sz="6" w:space="0" w:color="0075C9"/>
            </w:tcBorders>
            <w:tcMar>
              <w:top w:w="0" w:type="dxa"/>
              <w:left w:w="0" w:type="dxa"/>
              <w:bottom w:w="40" w:type="dxa"/>
              <w:right w:w="0" w:type="dxa"/>
            </w:tcMar>
            <w:hideMark/>
          </w:tcPr>
          <w:p w14:paraId="2DAF7ABE"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1664" w:type="dxa"/>
            <w:tcBorders>
              <w:bottom w:val="single" w:sz="6" w:space="0" w:color="0075C9"/>
            </w:tcBorders>
            <w:noWrap/>
            <w:tcMar>
              <w:top w:w="0" w:type="dxa"/>
              <w:left w:w="144" w:type="dxa"/>
              <w:bottom w:w="0" w:type="dxa"/>
              <w:right w:w="0" w:type="dxa"/>
            </w:tcMar>
            <w:vAlign w:val="bottom"/>
            <w:hideMark/>
          </w:tcPr>
          <w:p w14:paraId="40049B32" w14:textId="77777777" w:rsidR="00D246A9" w:rsidRDefault="00D246A9">
            <w:pPr>
              <w:pStyle w:val="NormalWeb"/>
              <w:tabs>
                <w:tab w:val="right" w:pos="1480"/>
                <w:tab w:val="decimal" w:pos="152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244" w:type="dxa"/>
            <w:tcBorders>
              <w:bottom w:val="single" w:sz="6" w:space="0" w:color="0075C9"/>
            </w:tcBorders>
            <w:noWrap/>
            <w:tcMar>
              <w:top w:w="0" w:type="dxa"/>
              <w:left w:w="144" w:type="dxa"/>
              <w:bottom w:w="0" w:type="dxa"/>
              <w:right w:w="0" w:type="dxa"/>
            </w:tcMar>
            <w:vAlign w:val="bottom"/>
            <w:hideMark/>
          </w:tcPr>
          <w:p w14:paraId="0BC2B4A5" w14:textId="77777777" w:rsidR="00D246A9" w:rsidRDefault="00D246A9">
            <w:pPr>
              <w:pStyle w:val="NormalWeb"/>
              <w:tabs>
                <w:tab w:val="right" w:pos="2060"/>
                <w:tab w:val="decimal" w:pos="2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4798CB7F"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D246A9" w14:paraId="0171C3A9" w14:textId="77777777" w:rsidTr="00FE0A0A">
        <w:trPr>
          <w:cantSplit/>
        </w:trPr>
        <w:tc>
          <w:tcPr>
            <w:tcW w:w="4808" w:type="dxa"/>
            <w:tcBorders>
              <w:bottom w:val="single" w:sz="6" w:space="0" w:color="0075C9"/>
            </w:tcBorders>
            <w:tcMar>
              <w:top w:w="0" w:type="dxa"/>
              <w:left w:w="0" w:type="dxa"/>
              <w:bottom w:w="40" w:type="dxa"/>
              <w:right w:w="0" w:type="dxa"/>
            </w:tcMar>
            <w:hideMark/>
          </w:tcPr>
          <w:p w14:paraId="10C5E322"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1664" w:type="dxa"/>
            <w:tcBorders>
              <w:bottom w:val="single" w:sz="6" w:space="0" w:color="0075C9"/>
            </w:tcBorders>
            <w:noWrap/>
            <w:tcMar>
              <w:top w:w="0" w:type="dxa"/>
              <w:left w:w="144" w:type="dxa"/>
              <w:bottom w:w="0" w:type="dxa"/>
              <w:right w:w="0" w:type="dxa"/>
            </w:tcMar>
            <w:vAlign w:val="bottom"/>
            <w:hideMark/>
          </w:tcPr>
          <w:p w14:paraId="12A74095" w14:textId="77777777" w:rsidR="00D246A9" w:rsidRDefault="00D246A9">
            <w:pPr>
              <w:pStyle w:val="NormalWeb"/>
              <w:tabs>
                <w:tab w:val="right" w:pos="1480"/>
                <w:tab w:val="decimal" w:pos="152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244" w:type="dxa"/>
            <w:tcBorders>
              <w:bottom w:val="single" w:sz="6" w:space="0" w:color="0075C9"/>
            </w:tcBorders>
            <w:noWrap/>
            <w:tcMar>
              <w:top w:w="0" w:type="dxa"/>
              <w:left w:w="144" w:type="dxa"/>
              <w:bottom w:w="0" w:type="dxa"/>
              <w:right w:w="0" w:type="dxa"/>
            </w:tcMar>
            <w:vAlign w:val="bottom"/>
            <w:hideMark/>
          </w:tcPr>
          <w:p w14:paraId="35655491" w14:textId="77777777" w:rsidR="00D246A9" w:rsidRDefault="00D246A9">
            <w:pPr>
              <w:pStyle w:val="NormalWeb"/>
              <w:tabs>
                <w:tab w:val="right" w:pos="2060"/>
                <w:tab w:val="decimal" w:pos="2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0B6A209C"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D246A9" w14:paraId="079F8A0A" w14:textId="77777777" w:rsidTr="00FE0A0A">
        <w:trPr>
          <w:cantSplit/>
        </w:trPr>
        <w:tc>
          <w:tcPr>
            <w:tcW w:w="4808" w:type="dxa"/>
            <w:tcBorders>
              <w:bottom w:val="single" w:sz="6" w:space="0" w:color="0075C9"/>
            </w:tcBorders>
            <w:tcMar>
              <w:top w:w="0" w:type="dxa"/>
              <w:left w:w="0" w:type="dxa"/>
              <w:bottom w:w="40" w:type="dxa"/>
              <w:right w:w="0" w:type="dxa"/>
            </w:tcMar>
            <w:hideMark/>
          </w:tcPr>
          <w:p w14:paraId="0C553323"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1664" w:type="dxa"/>
            <w:tcBorders>
              <w:bottom w:val="single" w:sz="6" w:space="0" w:color="0075C9"/>
            </w:tcBorders>
            <w:noWrap/>
            <w:tcMar>
              <w:top w:w="0" w:type="dxa"/>
              <w:left w:w="144" w:type="dxa"/>
              <w:bottom w:w="0" w:type="dxa"/>
              <w:right w:w="0" w:type="dxa"/>
            </w:tcMar>
            <w:vAlign w:val="bottom"/>
            <w:hideMark/>
          </w:tcPr>
          <w:p w14:paraId="3B977080" w14:textId="77777777" w:rsidR="00D246A9" w:rsidRDefault="00D246A9">
            <w:pPr>
              <w:pStyle w:val="NormalWeb"/>
              <w:tabs>
                <w:tab w:val="right" w:pos="1480"/>
                <w:tab w:val="decimal" w:pos="152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244" w:type="dxa"/>
            <w:tcBorders>
              <w:bottom w:val="single" w:sz="6" w:space="0" w:color="0075C9"/>
            </w:tcBorders>
            <w:noWrap/>
            <w:tcMar>
              <w:top w:w="0" w:type="dxa"/>
              <w:left w:w="144" w:type="dxa"/>
              <w:bottom w:w="0" w:type="dxa"/>
              <w:right w:w="0" w:type="dxa"/>
            </w:tcMar>
            <w:vAlign w:val="bottom"/>
            <w:hideMark/>
          </w:tcPr>
          <w:p w14:paraId="3BC3AD7A" w14:textId="77777777" w:rsidR="00D246A9" w:rsidRDefault="00D246A9">
            <w:pPr>
              <w:pStyle w:val="NormalWeb"/>
              <w:tabs>
                <w:tab w:val="right" w:pos="2060"/>
                <w:tab w:val="decimal" w:pos="2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5CE2E607"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D246A9" w14:paraId="2FF0F1B3" w14:textId="77777777" w:rsidTr="00FE0A0A">
        <w:trPr>
          <w:cantSplit/>
        </w:trPr>
        <w:tc>
          <w:tcPr>
            <w:tcW w:w="4808" w:type="dxa"/>
            <w:tcBorders>
              <w:bottom w:val="single" w:sz="6" w:space="0" w:color="0075C9"/>
            </w:tcBorders>
            <w:tcMar>
              <w:top w:w="0" w:type="dxa"/>
              <w:left w:w="0" w:type="dxa"/>
              <w:bottom w:w="40" w:type="dxa"/>
              <w:right w:w="0" w:type="dxa"/>
            </w:tcMar>
            <w:hideMark/>
          </w:tcPr>
          <w:p w14:paraId="7A4BF273"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1664" w:type="dxa"/>
            <w:tcBorders>
              <w:bottom w:val="single" w:sz="6" w:space="0" w:color="0075C9"/>
            </w:tcBorders>
            <w:noWrap/>
            <w:tcMar>
              <w:top w:w="0" w:type="dxa"/>
              <w:left w:w="144" w:type="dxa"/>
              <w:bottom w:w="0" w:type="dxa"/>
              <w:right w:w="0" w:type="dxa"/>
            </w:tcMar>
            <w:vAlign w:val="bottom"/>
            <w:hideMark/>
          </w:tcPr>
          <w:p w14:paraId="4EA12E39" w14:textId="77777777" w:rsidR="00D246A9" w:rsidRDefault="00D246A9">
            <w:pPr>
              <w:pStyle w:val="NormalWeb"/>
              <w:tabs>
                <w:tab w:val="right" w:pos="1480"/>
                <w:tab w:val="decimal" w:pos="1520"/>
              </w:tabs>
              <w:spacing w:before="0" w:beforeAutospacing="0" w:after="20" w:afterAutospacing="0"/>
              <w:rPr>
                <w:rFonts w:ascii="Arial" w:hAnsi="Arial" w:cs="Arial"/>
                <w:sz w:val="18"/>
                <w:szCs w:val="18"/>
              </w:rPr>
            </w:pPr>
            <w:r>
              <w:rPr>
                <w:rFonts w:ascii="Arial" w:hAnsi="Arial" w:cs="Arial"/>
                <w:sz w:val="18"/>
                <w:szCs w:val="18"/>
              </w:rPr>
              <w:tab/>
              <w:t>1,493,688</w:t>
            </w:r>
            <w:r>
              <w:rPr>
                <w:rFonts w:ascii="Arial" w:hAnsi="Arial" w:cs="Arial"/>
                <w:sz w:val="18"/>
                <w:szCs w:val="18"/>
              </w:rPr>
              <w:tab/>
            </w:r>
          </w:p>
        </w:tc>
        <w:tc>
          <w:tcPr>
            <w:tcW w:w="2244" w:type="dxa"/>
            <w:tcBorders>
              <w:bottom w:val="single" w:sz="6" w:space="0" w:color="0075C9"/>
            </w:tcBorders>
            <w:noWrap/>
            <w:tcMar>
              <w:top w:w="0" w:type="dxa"/>
              <w:left w:w="144" w:type="dxa"/>
              <w:bottom w:w="0" w:type="dxa"/>
              <w:right w:w="0" w:type="dxa"/>
            </w:tcMar>
            <w:vAlign w:val="bottom"/>
            <w:hideMark/>
          </w:tcPr>
          <w:p w14:paraId="187711B5" w14:textId="77777777" w:rsidR="00D246A9" w:rsidRDefault="00D246A9">
            <w:pPr>
              <w:pStyle w:val="NormalWeb"/>
              <w:tabs>
                <w:tab w:val="right" w:pos="2060"/>
                <w:tab w:val="decimal" w:pos="2100"/>
              </w:tabs>
              <w:spacing w:before="0" w:beforeAutospacing="0" w:after="20" w:afterAutospacing="0"/>
              <w:rPr>
                <w:rFonts w:ascii="Arial" w:hAnsi="Arial" w:cs="Arial"/>
                <w:sz w:val="18"/>
                <w:szCs w:val="18"/>
              </w:rPr>
            </w:pPr>
            <w:r>
              <w:rPr>
                <w:rFonts w:ascii="Arial" w:hAnsi="Arial" w:cs="Arial"/>
                <w:sz w:val="18"/>
                <w:szCs w:val="18"/>
              </w:rPr>
              <w:tab/>
              <w:t>357,834</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2AEF0DCB"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4,029,878</w:t>
            </w:r>
            <w:r>
              <w:rPr>
                <w:rFonts w:ascii="Arial" w:hAnsi="Arial" w:cs="Arial"/>
                <w:sz w:val="18"/>
                <w:szCs w:val="18"/>
              </w:rPr>
              <w:tab/>
            </w:r>
          </w:p>
        </w:tc>
      </w:tr>
    </w:tbl>
    <w:p w14:paraId="49752868"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These amounts are included in the Summary Compensation Table for fiscal year 2023. </w:t>
      </w:r>
    </w:p>
    <w:p w14:paraId="2E9C0974"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None of the amounts in this column are included in the Summary Compensation Table because the earnings under the Deferred Compensation Plan were not preferential or above-market. </w:t>
      </w:r>
    </w:p>
    <w:p w14:paraId="332381A8"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Of these balances, the following amounts, which were in the form of executive contributions, were reported in the Summary Compensation Table in prior-year proxy statements: Mr. Young – $2,500,000. </w:t>
      </w:r>
    </w:p>
    <w:p w14:paraId="7431CDB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Deferred Compensation Plan is unfunded and unsecured. It allows participants to defer a specified percentage of their base salary (up to 75%) and/or eligible cash incentives (up to 100%). Participation in the Deferred Compensation Plan is limited to U.S. senior managers, including our U.S. Named Executives. Microsoft does not contribute to the Deferred Compensation Plan </w:t>
      </w:r>
      <w:proofErr w:type="gramStart"/>
      <w:r>
        <w:rPr>
          <w:rFonts w:ascii="Arial" w:hAnsi="Arial" w:cs="Arial"/>
          <w:sz w:val="18"/>
          <w:szCs w:val="18"/>
        </w:rPr>
        <w:t>or</w:t>
      </w:r>
      <w:proofErr w:type="gramEnd"/>
      <w:r>
        <w:rPr>
          <w:rFonts w:ascii="Arial" w:hAnsi="Arial" w:cs="Arial"/>
          <w:sz w:val="18"/>
          <w:szCs w:val="18"/>
        </w:rPr>
        <w:t xml:space="preserve"> guarantee any returns on participant contributions. </w:t>
      </w:r>
    </w:p>
    <w:p w14:paraId="35ACD9F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When an employee elects to participate in the Deferred Compensation Plan, the employee must specify the percentage of base salary and/or cash incentive award to be deferred and the timing of distributions. No withdrawals are permitted prior to the previously elected distribution date, other than withdrawals for certain severe financial hardships as permitted by applicable law. Amounts deferred under the Deferred Compensation Plan are credited with hypothetical investment earnings based on participant investment elections made from among deemed investment options available under the plan. </w:t>
      </w:r>
    </w:p>
    <w:p w14:paraId="4332AA7A" w14:textId="77777777" w:rsidR="00D246A9" w:rsidRDefault="00D246A9">
      <w:pPr>
        <w:pStyle w:val="NormalWeb"/>
        <w:spacing w:before="270" w:beforeAutospacing="0" w:after="0" w:afterAutospacing="0"/>
        <w:rPr>
          <w:sz w:val="2"/>
          <w:szCs w:val="2"/>
        </w:rPr>
      </w:pPr>
      <w:r>
        <w:rPr>
          <w:sz w:val="2"/>
          <w:szCs w:val="2"/>
        </w:rPr>
        <w:t> </w:t>
      </w:r>
    </w:p>
    <w:p w14:paraId="23283ED8" w14:textId="77777777" w:rsidR="008E18EB" w:rsidRDefault="008E18EB">
      <w:pPr>
        <w:rPr>
          <w:rFonts w:ascii="Arial" w:hAnsi="Arial" w:cs="Arial"/>
          <w:b/>
          <w:bCs/>
          <w:szCs w:val="24"/>
        </w:rPr>
      </w:pPr>
      <w:r>
        <w:br w:type="page"/>
      </w:r>
    </w:p>
    <w:p w14:paraId="09C2EAAF" w14:textId="1A9A0E6D" w:rsidR="00D246A9" w:rsidRDefault="00D246A9" w:rsidP="008E18EB">
      <w:pPr>
        <w:pStyle w:val="Heading4"/>
      </w:pPr>
      <w:r>
        <w:lastRenderedPageBreak/>
        <w:t xml:space="preserve">Payments at Termination of Employment </w:t>
      </w:r>
    </w:p>
    <w:p w14:paraId="15B1DF5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shows the amounts that would have been payable to our Named Executives upon a termination of employment without cause or due to retirement on June 30, 2023, or at a termination due to death or disability on June 30, 2023, pursuant to our post-employment compensation arrangements as described on pages 48-49. The equity values presented in the table below were valued using the closing stock price on June 30, 2023, which was $340.54 per share. </w:t>
      </w:r>
    </w:p>
    <w:p w14:paraId="63D0F28D"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448"/>
        <w:gridCol w:w="2084"/>
        <w:gridCol w:w="2124"/>
        <w:gridCol w:w="2144"/>
      </w:tblGrid>
      <w:tr w:rsidR="00D246A9" w14:paraId="4441EAA1" w14:textId="77777777" w:rsidTr="00FE0A0A">
        <w:trPr>
          <w:cantSplit/>
          <w:tblHeader/>
        </w:trPr>
        <w:tc>
          <w:tcPr>
            <w:tcW w:w="4448" w:type="dxa"/>
            <w:tcBorders>
              <w:bottom w:val="single" w:sz="8" w:space="0" w:color="000000"/>
            </w:tcBorders>
            <w:tcMar>
              <w:top w:w="0" w:type="dxa"/>
              <w:left w:w="0" w:type="dxa"/>
              <w:bottom w:w="40" w:type="dxa"/>
              <w:right w:w="0" w:type="dxa"/>
            </w:tcMar>
            <w:vAlign w:val="bottom"/>
            <w:hideMark/>
          </w:tcPr>
          <w:p w14:paraId="12F1F2A0" w14:textId="77777777" w:rsidR="00D246A9" w:rsidRPr="00306F7C" w:rsidRDefault="00D246A9" w:rsidP="00D87FF2">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Named Executive</w:t>
            </w:r>
          </w:p>
        </w:tc>
        <w:tc>
          <w:tcPr>
            <w:tcW w:w="2084" w:type="dxa"/>
            <w:tcBorders>
              <w:bottom w:val="single" w:sz="8" w:space="0" w:color="000000"/>
            </w:tcBorders>
            <w:tcMar>
              <w:top w:w="0" w:type="dxa"/>
              <w:left w:w="144" w:type="dxa"/>
              <w:bottom w:w="0" w:type="dxa"/>
              <w:right w:w="0" w:type="dxa"/>
            </w:tcMar>
            <w:vAlign w:val="bottom"/>
            <w:hideMark/>
          </w:tcPr>
          <w:p w14:paraId="66F5A922"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Without Cause</w:t>
            </w:r>
            <w:r>
              <w:rPr>
                <w:rFonts w:ascii="Arial" w:hAnsi="Arial" w:cs="Arial"/>
                <w:b/>
                <w:bCs/>
                <w:sz w:val="14"/>
                <w:szCs w:val="14"/>
                <w:vertAlign w:val="superscript"/>
              </w:rPr>
              <w:t>1</w:t>
            </w:r>
          </w:p>
          <w:p w14:paraId="7966625A"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2124" w:type="dxa"/>
            <w:tcBorders>
              <w:bottom w:val="single" w:sz="8" w:space="0" w:color="000000"/>
            </w:tcBorders>
            <w:tcMar>
              <w:top w:w="0" w:type="dxa"/>
              <w:left w:w="144" w:type="dxa"/>
              <w:bottom w:w="0" w:type="dxa"/>
              <w:right w:w="0" w:type="dxa"/>
            </w:tcMar>
            <w:vAlign w:val="bottom"/>
            <w:hideMark/>
          </w:tcPr>
          <w:p w14:paraId="67D81133"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Retirement</w:t>
            </w:r>
          </w:p>
          <w:p w14:paraId="6718D121"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2144" w:type="dxa"/>
            <w:tcBorders>
              <w:bottom w:val="single" w:sz="8" w:space="0" w:color="000000"/>
            </w:tcBorders>
            <w:tcMar>
              <w:top w:w="0" w:type="dxa"/>
              <w:left w:w="144" w:type="dxa"/>
              <w:bottom w:w="0" w:type="dxa"/>
              <w:right w:w="0" w:type="dxa"/>
            </w:tcMar>
            <w:vAlign w:val="bottom"/>
            <w:hideMark/>
          </w:tcPr>
          <w:p w14:paraId="3E1BC5A4"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Death or Disability</w:t>
            </w:r>
          </w:p>
          <w:p w14:paraId="4A79F893"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r>
      <w:tr w:rsidR="00D246A9" w14:paraId="330D66DF" w14:textId="77777777" w:rsidTr="00FE0A0A">
        <w:trPr>
          <w:cantSplit/>
        </w:trPr>
        <w:tc>
          <w:tcPr>
            <w:tcW w:w="4448" w:type="dxa"/>
            <w:tcBorders>
              <w:bottom w:val="single" w:sz="6" w:space="0" w:color="0075C9"/>
            </w:tcBorders>
            <w:tcMar>
              <w:top w:w="0" w:type="dxa"/>
              <w:left w:w="0" w:type="dxa"/>
              <w:bottom w:w="40" w:type="dxa"/>
              <w:right w:w="0" w:type="dxa"/>
            </w:tcMar>
            <w:hideMark/>
          </w:tcPr>
          <w:p w14:paraId="152E6142" w14:textId="77777777" w:rsidR="00D246A9" w:rsidRPr="00306F7C" w:rsidRDefault="00D246A9" w:rsidP="00D87FF2">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2084" w:type="dxa"/>
            <w:tcBorders>
              <w:bottom w:val="single" w:sz="6" w:space="0" w:color="0075C9"/>
            </w:tcBorders>
            <w:noWrap/>
            <w:tcMar>
              <w:top w:w="0" w:type="dxa"/>
              <w:left w:w="144" w:type="dxa"/>
              <w:bottom w:w="0" w:type="dxa"/>
              <w:right w:w="0" w:type="dxa"/>
            </w:tcMar>
            <w:vAlign w:val="bottom"/>
            <w:hideMark/>
          </w:tcPr>
          <w:p w14:paraId="2F55E95C" w14:textId="77777777" w:rsidR="00D246A9" w:rsidRDefault="00D246A9" w:rsidP="00D87FF2">
            <w:pPr>
              <w:pStyle w:val="NormalWeb"/>
              <w:tabs>
                <w:tab w:val="right" w:pos="1900"/>
                <w:tab w:val="decimal" w:pos="1940"/>
              </w:tabs>
              <w:spacing w:before="0" w:beforeAutospacing="0" w:after="0" w:afterAutospacing="0"/>
              <w:rPr>
                <w:rFonts w:ascii="Arial" w:hAnsi="Arial" w:cs="Arial"/>
                <w:sz w:val="18"/>
                <w:szCs w:val="18"/>
              </w:rPr>
            </w:pPr>
            <w:r>
              <w:rPr>
                <w:rFonts w:ascii="Arial" w:hAnsi="Arial" w:cs="Arial"/>
                <w:sz w:val="18"/>
                <w:szCs w:val="18"/>
              </w:rPr>
              <w:tab/>
              <w:t>111,391,908</w:t>
            </w:r>
            <w:r>
              <w:rPr>
                <w:rFonts w:ascii="Arial" w:hAnsi="Arial" w:cs="Arial"/>
                <w:sz w:val="18"/>
                <w:szCs w:val="18"/>
              </w:rPr>
              <w:tab/>
            </w:r>
          </w:p>
        </w:tc>
        <w:tc>
          <w:tcPr>
            <w:tcW w:w="2124" w:type="dxa"/>
            <w:tcBorders>
              <w:bottom w:val="single" w:sz="6" w:space="0" w:color="0075C9"/>
            </w:tcBorders>
            <w:noWrap/>
            <w:tcMar>
              <w:top w:w="0" w:type="dxa"/>
              <w:left w:w="144" w:type="dxa"/>
              <w:bottom w:w="0" w:type="dxa"/>
              <w:right w:w="0" w:type="dxa"/>
            </w:tcMar>
            <w:vAlign w:val="bottom"/>
            <w:hideMark/>
          </w:tcPr>
          <w:p w14:paraId="0DE64ABD"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8"/>
                <w:szCs w:val="18"/>
              </w:rPr>
            </w:pPr>
            <w:r>
              <w:rPr>
                <w:rFonts w:ascii="Arial" w:hAnsi="Arial" w:cs="Arial"/>
                <w:sz w:val="18"/>
                <w:szCs w:val="18"/>
              </w:rPr>
              <w:tab/>
              <w:t>72,133,183</w:t>
            </w:r>
            <w:r>
              <w:rPr>
                <w:rFonts w:ascii="Arial" w:hAnsi="Arial" w:cs="Arial"/>
                <w:sz w:val="18"/>
                <w:szCs w:val="18"/>
              </w:rPr>
              <w:tab/>
            </w:r>
          </w:p>
        </w:tc>
        <w:tc>
          <w:tcPr>
            <w:tcW w:w="2144" w:type="dxa"/>
            <w:tcBorders>
              <w:bottom w:val="single" w:sz="6" w:space="0" w:color="0075C9"/>
            </w:tcBorders>
            <w:noWrap/>
            <w:tcMar>
              <w:top w:w="0" w:type="dxa"/>
              <w:left w:w="144" w:type="dxa"/>
              <w:bottom w:w="0" w:type="dxa"/>
              <w:right w:w="0" w:type="dxa"/>
            </w:tcMar>
            <w:vAlign w:val="bottom"/>
            <w:hideMark/>
          </w:tcPr>
          <w:p w14:paraId="56CDDFBE" w14:textId="77777777" w:rsidR="00D246A9" w:rsidRDefault="00D246A9" w:rsidP="00D87FF2">
            <w:pPr>
              <w:pStyle w:val="NormalWeb"/>
              <w:tabs>
                <w:tab w:val="right" w:pos="1960"/>
                <w:tab w:val="decimal" w:pos="2000"/>
              </w:tabs>
              <w:spacing w:before="0" w:beforeAutospacing="0" w:after="0" w:afterAutospacing="0"/>
              <w:rPr>
                <w:rFonts w:ascii="Arial" w:hAnsi="Arial" w:cs="Arial"/>
                <w:sz w:val="18"/>
                <w:szCs w:val="18"/>
              </w:rPr>
            </w:pPr>
            <w:r>
              <w:rPr>
                <w:rFonts w:ascii="Arial" w:hAnsi="Arial" w:cs="Arial"/>
                <w:sz w:val="18"/>
                <w:szCs w:val="18"/>
              </w:rPr>
              <w:tab/>
              <w:t>156,054,498</w:t>
            </w:r>
            <w:r>
              <w:rPr>
                <w:rFonts w:ascii="Arial" w:hAnsi="Arial" w:cs="Arial"/>
                <w:sz w:val="18"/>
                <w:szCs w:val="18"/>
              </w:rPr>
              <w:tab/>
            </w:r>
          </w:p>
        </w:tc>
      </w:tr>
      <w:tr w:rsidR="00D246A9" w14:paraId="36B2A4C5" w14:textId="77777777" w:rsidTr="00FE0A0A">
        <w:trPr>
          <w:cantSplit/>
        </w:trPr>
        <w:tc>
          <w:tcPr>
            <w:tcW w:w="4448" w:type="dxa"/>
            <w:tcBorders>
              <w:bottom w:val="single" w:sz="6" w:space="0" w:color="0075C9"/>
            </w:tcBorders>
            <w:tcMar>
              <w:top w:w="0" w:type="dxa"/>
              <w:left w:w="0" w:type="dxa"/>
              <w:bottom w:w="40" w:type="dxa"/>
              <w:right w:w="0" w:type="dxa"/>
            </w:tcMar>
            <w:hideMark/>
          </w:tcPr>
          <w:p w14:paraId="4761C7EE" w14:textId="77777777" w:rsidR="00D246A9" w:rsidRPr="00306F7C" w:rsidRDefault="00D246A9" w:rsidP="00D87FF2">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2084" w:type="dxa"/>
            <w:tcBorders>
              <w:bottom w:val="single" w:sz="6" w:space="0" w:color="0075C9"/>
            </w:tcBorders>
            <w:noWrap/>
            <w:tcMar>
              <w:top w:w="0" w:type="dxa"/>
              <w:left w:w="144" w:type="dxa"/>
              <w:bottom w:w="0" w:type="dxa"/>
              <w:right w:w="0" w:type="dxa"/>
            </w:tcMar>
            <w:vAlign w:val="bottom"/>
            <w:hideMark/>
          </w:tcPr>
          <w:p w14:paraId="0D3FD107" w14:textId="77777777" w:rsidR="00D246A9" w:rsidRDefault="00D246A9" w:rsidP="00D87FF2">
            <w:pPr>
              <w:pStyle w:val="NormalWeb"/>
              <w:tabs>
                <w:tab w:val="right" w:pos="1900"/>
                <w:tab w:val="decimal" w:pos="1940"/>
              </w:tabs>
              <w:spacing w:before="0" w:beforeAutospacing="0" w:after="0" w:afterAutospacing="0"/>
              <w:rPr>
                <w:rFonts w:ascii="Arial" w:hAnsi="Arial" w:cs="Arial"/>
                <w:sz w:val="18"/>
                <w:szCs w:val="18"/>
              </w:rPr>
            </w:pPr>
            <w:r>
              <w:rPr>
                <w:rFonts w:ascii="Arial" w:hAnsi="Arial" w:cs="Arial"/>
                <w:sz w:val="18"/>
                <w:szCs w:val="18"/>
              </w:rPr>
              <w:tab/>
              <w:t>38,585,854</w:t>
            </w:r>
            <w:r>
              <w:rPr>
                <w:rFonts w:ascii="Arial" w:hAnsi="Arial" w:cs="Arial"/>
                <w:sz w:val="18"/>
                <w:szCs w:val="18"/>
              </w:rPr>
              <w:tab/>
            </w:r>
          </w:p>
        </w:tc>
        <w:tc>
          <w:tcPr>
            <w:tcW w:w="2124" w:type="dxa"/>
            <w:tcBorders>
              <w:bottom w:val="single" w:sz="6" w:space="0" w:color="0075C9"/>
            </w:tcBorders>
            <w:noWrap/>
            <w:tcMar>
              <w:top w:w="0" w:type="dxa"/>
              <w:left w:w="144" w:type="dxa"/>
              <w:bottom w:w="0" w:type="dxa"/>
              <w:right w:w="0" w:type="dxa"/>
            </w:tcMar>
            <w:vAlign w:val="bottom"/>
            <w:hideMark/>
          </w:tcPr>
          <w:p w14:paraId="6442ABAB"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144" w:type="dxa"/>
            <w:tcBorders>
              <w:bottom w:val="single" w:sz="6" w:space="0" w:color="0075C9"/>
            </w:tcBorders>
            <w:noWrap/>
            <w:tcMar>
              <w:top w:w="0" w:type="dxa"/>
              <w:left w:w="144" w:type="dxa"/>
              <w:bottom w:w="0" w:type="dxa"/>
              <w:right w:w="0" w:type="dxa"/>
            </w:tcMar>
            <w:vAlign w:val="bottom"/>
            <w:hideMark/>
          </w:tcPr>
          <w:p w14:paraId="6CC0ACD0" w14:textId="77777777" w:rsidR="00D246A9" w:rsidRDefault="00D246A9" w:rsidP="00D87FF2">
            <w:pPr>
              <w:pStyle w:val="NormalWeb"/>
              <w:tabs>
                <w:tab w:val="right" w:pos="1960"/>
                <w:tab w:val="decimal" w:pos="2000"/>
              </w:tabs>
              <w:spacing w:before="0" w:beforeAutospacing="0" w:after="0" w:afterAutospacing="0"/>
              <w:rPr>
                <w:rFonts w:ascii="Arial" w:hAnsi="Arial" w:cs="Arial"/>
                <w:sz w:val="18"/>
                <w:szCs w:val="18"/>
              </w:rPr>
            </w:pPr>
            <w:r>
              <w:rPr>
                <w:rFonts w:ascii="Arial" w:hAnsi="Arial" w:cs="Arial"/>
                <w:sz w:val="18"/>
                <w:szCs w:val="18"/>
              </w:rPr>
              <w:tab/>
              <w:t>55,614,950</w:t>
            </w:r>
            <w:r>
              <w:rPr>
                <w:rFonts w:ascii="Arial" w:hAnsi="Arial" w:cs="Arial"/>
                <w:sz w:val="18"/>
                <w:szCs w:val="18"/>
              </w:rPr>
              <w:tab/>
            </w:r>
          </w:p>
        </w:tc>
      </w:tr>
      <w:tr w:rsidR="00D246A9" w14:paraId="2E932475" w14:textId="77777777" w:rsidTr="00FE0A0A">
        <w:trPr>
          <w:cantSplit/>
        </w:trPr>
        <w:tc>
          <w:tcPr>
            <w:tcW w:w="4448" w:type="dxa"/>
            <w:tcBorders>
              <w:bottom w:val="single" w:sz="6" w:space="0" w:color="0075C9"/>
            </w:tcBorders>
            <w:tcMar>
              <w:top w:w="0" w:type="dxa"/>
              <w:left w:w="0" w:type="dxa"/>
              <w:bottom w:w="40" w:type="dxa"/>
              <w:right w:w="0" w:type="dxa"/>
            </w:tcMar>
            <w:hideMark/>
          </w:tcPr>
          <w:p w14:paraId="066FF16A" w14:textId="77777777" w:rsidR="00D246A9" w:rsidRPr="00306F7C" w:rsidRDefault="00D246A9" w:rsidP="00D87FF2">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2084" w:type="dxa"/>
            <w:tcBorders>
              <w:bottom w:val="single" w:sz="6" w:space="0" w:color="0075C9"/>
            </w:tcBorders>
            <w:noWrap/>
            <w:tcMar>
              <w:top w:w="0" w:type="dxa"/>
              <w:left w:w="144" w:type="dxa"/>
              <w:bottom w:w="0" w:type="dxa"/>
              <w:right w:w="0" w:type="dxa"/>
            </w:tcMar>
            <w:vAlign w:val="bottom"/>
            <w:hideMark/>
          </w:tcPr>
          <w:p w14:paraId="0F8D26A9" w14:textId="77777777" w:rsidR="00D246A9" w:rsidRDefault="00D246A9" w:rsidP="00D87FF2">
            <w:pPr>
              <w:pStyle w:val="NormalWeb"/>
              <w:tabs>
                <w:tab w:val="right" w:pos="1900"/>
                <w:tab w:val="decimal" w:pos="1940"/>
              </w:tabs>
              <w:spacing w:before="0" w:beforeAutospacing="0" w:after="0" w:afterAutospacing="0"/>
              <w:rPr>
                <w:rFonts w:ascii="Arial" w:hAnsi="Arial" w:cs="Arial"/>
                <w:sz w:val="18"/>
                <w:szCs w:val="18"/>
              </w:rPr>
            </w:pPr>
            <w:r>
              <w:rPr>
                <w:rFonts w:ascii="Arial" w:hAnsi="Arial" w:cs="Arial"/>
                <w:sz w:val="18"/>
                <w:szCs w:val="18"/>
              </w:rPr>
              <w:tab/>
              <w:t>28,584,274</w:t>
            </w:r>
            <w:r>
              <w:rPr>
                <w:rFonts w:ascii="Arial" w:hAnsi="Arial" w:cs="Arial"/>
                <w:sz w:val="18"/>
                <w:szCs w:val="18"/>
              </w:rPr>
              <w:tab/>
            </w:r>
          </w:p>
        </w:tc>
        <w:tc>
          <w:tcPr>
            <w:tcW w:w="2124" w:type="dxa"/>
            <w:tcBorders>
              <w:bottom w:val="single" w:sz="6" w:space="0" w:color="0075C9"/>
            </w:tcBorders>
            <w:noWrap/>
            <w:tcMar>
              <w:top w:w="0" w:type="dxa"/>
              <w:left w:w="144" w:type="dxa"/>
              <w:bottom w:w="0" w:type="dxa"/>
              <w:right w:w="0" w:type="dxa"/>
            </w:tcMar>
            <w:vAlign w:val="bottom"/>
            <w:hideMark/>
          </w:tcPr>
          <w:p w14:paraId="3510C8E2"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144" w:type="dxa"/>
            <w:tcBorders>
              <w:bottom w:val="single" w:sz="6" w:space="0" w:color="0075C9"/>
            </w:tcBorders>
            <w:noWrap/>
            <w:tcMar>
              <w:top w:w="0" w:type="dxa"/>
              <w:left w:w="144" w:type="dxa"/>
              <w:bottom w:w="0" w:type="dxa"/>
              <w:right w:w="0" w:type="dxa"/>
            </w:tcMar>
            <w:vAlign w:val="bottom"/>
            <w:hideMark/>
          </w:tcPr>
          <w:p w14:paraId="5FF75560" w14:textId="77777777" w:rsidR="00D246A9" w:rsidRDefault="00D246A9" w:rsidP="00D87FF2">
            <w:pPr>
              <w:pStyle w:val="NormalWeb"/>
              <w:tabs>
                <w:tab w:val="right" w:pos="1960"/>
                <w:tab w:val="decimal" w:pos="2000"/>
              </w:tabs>
              <w:spacing w:before="0" w:beforeAutospacing="0" w:after="0" w:afterAutospacing="0"/>
              <w:rPr>
                <w:rFonts w:ascii="Arial" w:hAnsi="Arial" w:cs="Arial"/>
                <w:sz w:val="18"/>
                <w:szCs w:val="18"/>
              </w:rPr>
            </w:pPr>
            <w:r>
              <w:rPr>
                <w:rFonts w:ascii="Arial" w:hAnsi="Arial" w:cs="Arial"/>
                <w:sz w:val="18"/>
                <w:szCs w:val="18"/>
              </w:rPr>
              <w:tab/>
              <w:t>40,971,048</w:t>
            </w:r>
            <w:r>
              <w:rPr>
                <w:rFonts w:ascii="Arial" w:hAnsi="Arial" w:cs="Arial"/>
                <w:sz w:val="18"/>
                <w:szCs w:val="18"/>
              </w:rPr>
              <w:tab/>
            </w:r>
          </w:p>
        </w:tc>
      </w:tr>
      <w:tr w:rsidR="00D246A9" w14:paraId="59E47A72" w14:textId="77777777" w:rsidTr="00FE0A0A">
        <w:trPr>
          <w:cantSplit/>
        </w:trPr>
        <w:tc>
          <w:tcPr>
            <w:tcW w:w="4448" w:type="dxa"/>
            <w:tcBorders>
              <w:bottom w:val="single" w:sz="6" w:space="0" w:color="0075C9"/>
            </w:tcBorders>
            <w:tcMar>
              <w:top w:w="0" w:type="dxa"/>
              <w:left w:w="0" w:type="dxa"/>
              <w:bottom w:w="40" w:type="dxa"/>
              <w:right w:w="0" w:type="dxa"/>
            </w:tcMar>
            <w:hideMark/>
          </w:tcPr>
          <w:p w14:paraId="49B42D04" w14:textId="77777777" w:rsidR="00D246A9" w:rsidRPr="00306F7C" w:rsidRDefault="00D246A9" w:rsidP="00D87FF2">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2084" w:type="dxa"/>
            <w:tcBorders>
              <w:bottom w:val="single" w:sz="6" w:space="0" w:color="0075C9"/>
            </w:tcBorders>
            <w:noWrap/>
            <w:tcMar>
              <w:top w:w="0" w:type="dxa"/>
              <w:left w:w="144" w:type="dxa"/>
              <w:bottom w:w="0" w:type="dxa"/>
              <w:right w:w="0" w:type="dxa"/>
            </w:tcMar>
            <w:vAlign w:val="bottom"/>
            <w:hideMark/>
          </w:tcPr>
          <w:p w14:paraId="202FE180" w14:textId="77777777" w:rsidR="00D246A9" w:rsidRDefault="00D246A9" w:rsidP="00D87FF2">
            <w:pPr>
              <w:pStyle w:val="NormalWeb"/>
              <w:tabs>
                <w:tab w:val="right" w:pos="1900"/>
                <w:tab w:val="decimal" w:pos="1940"/>
              </w:tabs>
              <w:spacing w:before="0" w:beforeAutospacing="0" w:after="0" w:afterAutospacing="0"/>
              <w:rPr>
                <w:rFonts w:ascii="Arial" w:hAnsi="Arial" w:cs="Arial"/>
                <w:sz w:val="18"/>
                <w:szCs w:val="18"/>
              </w:rPr>
            </w:pPr>
            <w:r>
              <w:rPr>
                <w:rFonts w:ascii="Arial" w:hAnsi="Arial" w:cs="Arial"/>
                <w:sz w:val="18"/>
                <w:szCs w:val="18"/>
              </w:rPr>
              <w:tab/>
              <w:t>38,995,523</w:t>
            </w:r>
            <w:r>
              <w:rPr>
                <w:rFonts w:ascii="Arial" w:hAnsi="Arial" w:cs="Arial"/>
                <w:sz w:val="18"/>
                <w:szCs w:val="18"/>
              </w:rPr>
              <w:tab/>
            </w:r>
          </w:p>
        </w:tc>
        <w:tc>
          <w:tcPr>
            <w:tcW w:w="2124" w:type="dxa"/>
            <w:tcBorders>
              <w:bottom w:val="single" w:sz="6" w:space="0" w:color="0075C9"/>
            </w:tcBorders>
            <w:noWrap/>
            <w:tcMar>
              <w:top w:w="0" w:type="dxa"/>
              <w:left w:w="144" w:type="dxa"/>
              <w:bottom w:w="0" w:type="dxa"/>
              <w:right w:w="0" w:type="dxa"/>
            </w:tcMar>
            <w:vAlign w:val="bottom"/>
            <w:hideMark/>
          </w:tcPr>
          <w:p w14:paraId="67EAA651"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8"/>
                <w:szCs w:val="18"/>
              </w:rPr>
            </w:pPr>
            <w:r>
              <w:rPr>
                <w:rFonts w:ascii="Arial" w:hAnsi="Arial" w:cs="Arial"/>
                <w:sz w:val="18"/>
                <w:szCs w:val="18"/>
              </w:rPr>
              <w:tab/>
              <w:t>25,793,862</w:t>
            </w:r>
            <w:r>
              <w:rPr>
                <w:rFonts w:ascii="Arial" w:hAnsi="Arial" w:cs="Arial"/>
                <w:sz w:val="18"/>
                <w:szCs w:val="18"/>
              </w:rPr>
              <w:tab/>
            </w:r>
          </w:p>
        </w:tc>
        <w:tc>
          <w:tcPr>
            <w:tcW w:w="2144" w:type="dxa"/>
            <w:tcBorders>
              <w:bottom w:val="single" w:sz="6" w:space="0" w:color="0075C9"/>
            </w:tcBorders>
            <w:noWrap/>
            <w:tcMar>
              <w:top w:w="0" w:type="dxa"/>
              <w:left w:w="144" w:type="dxa"/>
              <w:bottom w:w="0" w:type="dxa"/>
              <w:right w:w="0" w:type="dxa"/>
            </w:tcMar>
            <w:vAlign w:val="bottom"/>
            <w:hideMark/>
          </w:tcPr>
          <w:p w14:paraId="2FFB61D2" w14:textId="77777777" w:rsidR="00D246A9" w:rsidRDefault="00D246A9" w:rsidP="00D87FF2">
            <w:pPr>
              <w:pStyle w:val="NormalWeb"/>
              <w:tabs>
                <w:tab w:val="right" w:pos="1960"/>
                <w:tab w:val="decimal" w:pos="2000"/>
              </w:tabs>
              <w:spacing w:before="0" w:beforeAutospacing="0" w:after="0" w:afterAutospacing="0"/>
              <w:rPr>
                <w:rFonts w:ascii="Arial" w:hAnsi="Arial" w:cs="Arial"/>
                <w:sz w:val="18"/>
                <w:szCs w:val="18"/>
              </w:rPr>
            </w:pPr>
            <w:r>
              <w:rPr>
                <w:rFonts w:ascii="Arial" w:hAnsi="Arial" w:cs="Arial"/>
                <w:sz w:val="18"/>
                <w:szCs w:val="18"/>
              </w:rPr>
              <w:tab/>
              <w:t>48,895,755</w:t>
            </w:r>
            <w:r>
              <w:rPr>
                <w:rFonts w:ascii="Arial" w:hAnsi="Arial" w:cs="Arial"/>
                <w:sz w:val="18"/>
                <w:szCs w:val="18"/>
              </w:rPr>
              <w:tab/>
            </w:r>
          </w:p>
        </w:tc>
      </w:tr>
      <w:tr w:rsidR="00D246A9" w14:paraId="7E7A5CAC" w14:textId="77777777" w:rsidTr="00FE0A0A">
        <w:trPr>
          <w:cantSplit/>
        </w:trPr>
        <w:tc>
          <w:tcPr>
            <w:tcW w:w="4448" w:type="dxa"/>
            <w:tcBorders>
              <w:bottom w:val="single" w:sz="6" w:space="0" w:color="0075C9"/>
            </w:tcBorders>
            <w:tcMar>
              <w:top w:w="0" w:type="dxa"/>
              <w:left w:w="0" w:type="dxa"/>
              <w:bottom w:w="40" w:type="dxa"/>
              <w:right w:w="0" w:type="dxa"/>
            </w:tcMar>
            <w:hideMark/>
          </w:tcPr>
          <w:p w14:paraId="1D35A7D7" w14:textId="77777777" w:rsidR="00D246A9" w:rsidRPr="00306F7C" w:rsidRDefault="00D246A9" w:rsidP="00D87FF2">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2084" w:type="dxa"/>
            <w:tcBorders>
              <w:bottom w:val="single" w:sz="6" w:space="0" w:color="0075C9"/>
            </w:tcBorders>
            <w:noWrap/>
            <w:tcMar>
              <w:top w:w="0" w:type="dxa"/>
              <w:left w:w="144" w:type="dxa"/>
              <w:bottom w:w="0" w:type="dxa"/>
              <w:right w:w="0" w:type="dxa"/>
            </w:tcMar>
            <w:vAlign w:val="bottom"/>
            <w:hideMark/>
          </w:tcPr>
          <w:p w14:paraId="2E74AB56" w14:textId="77777777" w:rsidR="00D246A9" w:rsidRDefault="00D246A9" w:rsidP="00D87FF2">
            <w:pPr>
              <w:pStyle w:val="NormalWeb"/>
              <w:tabs>
                <w:tab w:val="right" w:pos="1900"/>
                <w:tab w:val="decimal" w:pos="1940"/>
              </w:tabs>
              <w:spacing w:before="0" w:beforeAutospacing="0" w:after="0" w:afterAutospacing="0"/>
              <w:rPr>
                <w:rFonts w:ascii="Arial" w:hAnsi="Arial" w:cs="Arial"/>
                <w:sz w:val="18"/>
                <w:szCs w:val="18"/>
              </w:rPr>
            </w:pPr>
            <w:r>
              <w:rPr>
                <w:rFonts w:ascii="Arial" w:hAnsi="Arial" w:cs="Arial"/>
                <w:sz w:val="18"/>
                <w:szCs w:val="18"/>
              </w:rPr>
              <w:tab/>
              <w:t>26,087,730</w:t>
            </w:r>
            <w:r>
              <w:rPr>
                <w:rFonts w:ascii="Arial" w:hAnsi="Arial" w:cs="Arial"/>
                <w:sz w:val="18"/>
                <w:szCs w:val="18"/>
              </w:rPr>
              <w:tab/>
            </w:r>
          </w:p>
        </w:tc>
        <w:tc>
          <w:tcPr>
            <w:tcW w:w="2124" w:type="dxa"/>
            <w:tcBorders>
              <w:bottom w:val="single" w:sz="6" w:space="0" w:color="0075C9"/>
            </w:tcBorders>
            <w:noWrap/>
            <w:tcMar>
              <w:top w:w="0" w:type="dxa"/>
              <w:left w:w="144" w:type="dxa"/>
              <w:bottom w:w="0" w:type="dxa"/>
              <w:right w:w="0" w:type="dxa"/>
            </w:tcMar>
            <w:vAlign w:val="bottom"/>
            <w:hideMark/>
          </w:tcPr>
          <w:p w14:paraId="4CDDDFFA"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144" w:type="dxa"/>
            <w:tcBorders>
              <w:bottom w:val="single" w:sz="6" w:space="0" w:color="0075C9"/>
            </w:tcBorders>
            <w:noWrap/>
            <w:tcMar>
              <w:top w:w="0" w:type="dxa"/>
              <w:left w:w="144" w:type="dxa"/>
              <w:bottom w:w="0" w:type="dxa"/>
              <w:right w:w="0" w:type="dxa"/>
            </w:tcMar>
            <w:vAlign w:val="bottom"/>
            <w:hideMark/>
          </w:tcPr>
          <w:p w14:paraId="76E65C93" w14:textId="77777777" w:rsidR="00D246A9" w:rsidRDefault="00D246A9" w:rsidP="00D87FF2">
            <w:pPr>
              <w:pStyle w:val="NormalWeb"/>
              <w:tabs>
                <w:tab w:val="right" w:pos="1960"/>
                <w:tab w:val="decimal" w:pos="2000"/>
              </w:tabs>
              <w:spacing w:before="0" w:beforeAutospacing="0" w:after="0" w:afterAutospacing="0"/>
              <w:rPr>
                <w:rFonts w:ascii="Arial" w:hAnsi="Arial" w:cs="Arial"/>
                <w:sz w:val="18"/>
                <w:szCs w:val="18"/>
              </w:rPr>
            </w:pPr>
            <w:r>
              <w:rPr>
                <w:rFonts w:ascii="Arial" w:hAnsi="Arial" w:cs="Arial"/>
                <w:sz w:val="18"/>
                <w:szCs w:val="18"/>
              </w:rPr>
              <w:tab/>
              <w:t>38,905,333</w:t>
            </w:r>
            <w:r>
              <w:rPr>
                <w:rFonts w:ascii="Arial" w:hAnsi="Arial" w:cs="Arial"/>
                <w:sz w:val="18"/>
                <w:szCs w:val="18"/>
              </w:rPr>
              <w:tab/>
            </w:r>
          </w:p>
        </w:tc>
      </w:tr>
    </w:tbl>
    <w:p w14:paraId="37423AA1"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Termination without cause includes incremental value associated with retirement-based stock vesting of SAs and PSAs, $1,415,625 for Mr. Nadella and $4,467,885 for Mr. Smith. </w:t>
      </w:r>
    </w:p>
    <w:p w14:paraId="02D00DFB" w14:textId="77777777" w:rsidR="00D246A9" w:rsidRDefault="00D246A9">
      <w:pPr>
        <w:pStyle w:val="NormalWeb"/>
        <w:keepNext/>
        <w:spacing w:before="0" w:beforeAutospacing="0" w:after="0" w:afterAutospacing="0"/>
        <w:rPr>
          <w:sz w:val="36"/>
          <w:szCs w:val="36"/>
        </w:rPr>
      </w:pPr>
      <w:r>
        <w:rPr>
          <w:sz w:val="36"/>
          <w:szCs w:val="36"/>
        </w:rPr>
        <w:t> </w:t>
      </w:r>
    </w:p>
    <w:p w14:paraId="02B50159" w14:textId="77777777" w:rsidR="00D246A9" w:rsidRDefault="00D246A9">
      <w:pPr>
        <w:pStyle w:val="rrdsinglerule"/>
        <w:pBdr>
          <w:top w:val="single" w:sz="6" w:space="0" w:color="0075C9"/>
        </w:pBdr>
        <w:spacing w:before="120"/>
        <w:rPr>
          <w:sz w:val="24"/>
          <w:szCs w:val="24"/>
        </w:rPr>
      </w:pPr>
      <w:r>
        <w:t xml:space="preserve">  </w:t>
      </w:r>
    </w:p>
    <w:p w14:paraId="7501586C" w14:textId="77777777" w:rsidR="00D246A9" w:rsidRDefault="00D246A9" w:rsidP="00B4165A">
      <w:pPr>
        <w:pStyle w:val="Heading3"/>
      </w:pPr>
      <w:bookmarkStart w:id="22" w:name="toc356108_23"/>
      <w:bookmarkEnd w:id="22"/>
      <w:r>
        <w:t xml:space="preserve">CEO Pay Ratio </w:t>
      </w:r>
    </w:p>
    <w:p w14:paraId="4FAA14B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For fiscal year 2023, the annual total compensation for the median employee of the Company (other than our CEO) was $193,770 and the annual total compensation of our CEO was $48,512,537. Based on this information, for fiscal year 2023 the ratio of the annual total compensation of our CEO to the annual total compensation of the median employee was 250 to 1. We believe this ratio is a reasonable estimate calculated in a manner consistent with Item 402(u) of Regulation S-K under the Securities Exchange Act of 1934. </w:t>
      </w:r>
    </w:p>
    <w:p w14:paraId="4AE8F7C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identified our median employee from among our employees as of June 30, 2023, the last day of our fiscal year, excluding approximately 391 employees who became Microsoft employees in fiscal year 2023 as a result of the following business acquisitions: Fungible Inc.; </w:t>
      </w:r>
      <w:proofErr w:type="spellStart"/>
      <w:r>
        <w:rPr>
          <w:rFonts w:ascii="Arial" w:hAnsi="Arial" w:cs="Arial"/>
          <w:sz w:val="18"/>
          <w:szCs w:val="18"/>
        </w:rPr>
        <w:t>Lumenisity</w:t>
      </w:r>
      <w:proofErr w:type="spellEnd"/>
      <w:r>
        <w:rPr>
          <w:rFonts w:ascii="Arial" w:hAnsi="Arial" w:cs="Arial"/>
          <w:sz w:val="18"/>
          <w:szCs w:val="18"/>
        </w:rPr>
        <w:t xml:space="preserve"> Limited; </w:t>
      </w:r>
      <w:proofErr w:type="spellStart"/>
      <w:r>
        <w:rPr>
          <w:rFonts w:ascii="Arial" w:hAnsi="Arial" w:cs="Arial"/>
          <w:sz w:val="18"/>
          <w:szCs w:val="18"/>
        </w:rPr>
        <w:t>Miburo</w:t>
      </w:r>
      <w:proofErr w:type="spellEnd"/>
      <w:r>
        <w:rPr>
          <w:rFonts w:ascii="Arial" w:hAnsi="Arial" w:cs="Arial"/>
          <w:sz w:val="18"/>
          <w:szCs w:val="18"/>
        </w:rPr>
        <w:t xml:space="preserve"> Solutions, Inc.; Excite Hungary </w:t>
      </w:r>
      <w:proofErr w:type="spellStart"/>
      <w:r>
        <w:rPr>
          <w:rFonts w:ascii="Arial" w:hAnsi="Arial" w:cs="Arial"/>
          <w:sz w:val="18"/>
          <w:szCs w:val="18"/>
        </w:rPr>
        <w:t>Kft</w:t>
      </w:r>
      <w:proofErr w:type="spellEnd"/>
      <w:r>
        <w:rPr>
          <w:rFonts w:ascii="Arial" w:hAnsi="Arial" w:cs="Arial"/>
          <w:sz w:val="18"/>
          <w:szCs w:val="18"/>
        </w:rPr>
        <w:t xml:space="preserve">.; and </w:t>
      </w:r>
      <w:proofErr w:type="spellStart"/>
      <w:r>
        <w:rPr>
          <w:rFonts w:ascii="Arial" w:hAnsi="Arial" w:cs="Arial"/>
          <w:sz w:val="18"/>
          <w:szCs w:val="18"/>
        </w:rPr>
        <w:t>EduBrite</w:t>
      </w:r>
      <w:proofErr w:type="spellEnd"/>
      <w:r>
        <w:rPr>
          <w:rFonts w:ascii="Arial" w:hAnsi="Arial" w:cs="Arial"/>
          <w:sz w:val="18"/>
          <w:szCs w:val="18"/>
        </w:rPr>
        <w:t xml:space="preserve"> Systems, Inc. To identify our median employee, we used a “total direct compensation” measure consisting of: (</w:t>
      </w:r>
      <w:proofErr w:type="spellStart"/>
      <w:r>
        <w:rPr>
          <w:rFonts w:ascii="Arial" w:hAnsi="Arial" w:cs="Arial"/>
          <w:sz w:val="18"/>
          <w:szCs w:val="18"/>
        </w:rPr>
        <w:t>i</w:t>
      </w:r>
      <w:proofErr w:type="spellEnd"/>
      <w:r>
        <w:rPr>
          <w:rFonts w:ascii="Arial" w:hAnsi="Arial" w:cs="Arial"/>
          <w:sz w:val="18"/>
          <w:szCs w:val="18"/>
        </w:rPr>
        <w:t xml:space="preserve">) fiscal year 2023 annual base pay (salary or gross wages for hourly employees, excluding paid leave), which we annualized for any permanent employees who commenced work during the year, (ii) target bonuses and cash incentives payable for fiscal year 2023 (excluding allowances, relocation payments, and profit-sharing), and (iii) the dollar value of SAs and target PSAs granted in fiscal year 2023. Compensation amounts were determined from our human resources and payroll systems of record. Payments not made in U.S. dollars were converted to U.S. dollars using 12-month average exchange rates for the year. To identify our median </w:t>
      </w:r>
      <w:proofErr w:type="gramStart"/>
      <w:r>
        <w:rPr>
          <w:rFonts w:ascii="Arial" w:hAnsi="Arial" w:cs="Arial"/>
          <w:sz w:val="18"/>
          <w:szCs w:val="18"/>
        </w:rPr>
        <w:t>employee</w:t>
      </w:r>
      <w:proofErr w:type="gramEnd"/>
      <w:r>
        <w:rPr>
          <w:rFonts w:ascii="Arial" w:hAnsi="Arial" w:cs="Arial"/>
          <w:sz w:val="18"/>
          <w:szCs w:val="18"/>
        </w:rPr>
        <w:t xml:space="preserve">, we then calculated the total direct compensation for our global employee population and excluded employees at the median who had anomalous compensation characteristics. </w:t>
      </w:r>
    </w:p>
    <w:p w14:paraId="6675BA6C" w14:textId="77777777" w:rsidR="00D246A9" w:rsidRDefault="00D246A9">
      <w:pPr>
        <w:pStyle w:val="NormalWeb"/>
        <w:spacing w:before="240" w:beforeAutospacing="0" w:after="0" w:afterAutospacing="0"/>
        <w:rPr>
          <w:sz w:val="2"/>
          <w:szCs w:val="2"/>
        </w:rPr>
      </w:pPr>
      <w:r>
        <w:rPr>
          <w:sz w:val="2"/>
          <w:szCs w:val="2"/>
        </w:rPr>
        <w:t> </w:t>
      </w:r>
    </w:p>
    <w:p w14:paraId="4D7D9F1E" w14:textId="77777777" w:rsidR="00D246A9" w:rsidRDefault="00D246A9" w:rsidP="00D87FF2">
      <w:pPr>
        <w:pStyle w:val="rrdsinglerule"/>
        <w:pageBreakBefore/>
        <w:pBdr>
          <w:top w:val="single" w:sz="6" w:space="0" w:color="0075C9"/>
        </w:pBdr>
        <w:rPr>
          <w:sz w:val="24"/>
          <w:szCs w:val="24"/>
        </w:rPr>
      </w:pPr>
      <w:r>
        <w:lastRenderedPageBreak/>
        <w:t> </w:t>
      </w:r>
    </w:p>
    <w:p w14:paraId="674E3297" w14:textId="77777777" w:rsidR="00D246A9" w:rsidRDefault="00D246A9" w:rsidP="00B4165A">
      <w:pPr>
        <w:pStyle w:val="Heading3"/>
      </w:pPr>
      <w:bookmarkStart w:id="23" w:name="toc356108_24"/>
      <w:bookmarkEnd w:id="23"/>
      <w:r>
        <w:t xml:space="preserve">Pay Versus Performance </w:t>
      </w:r>
    </w:p>
    <w:p w14:paraId="3DF7ABE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section provides disclosure about the relationship between executive compensation actually paid to our principal executive officer (“PEO”) and Non-PEO Named Executives and certain financial performance measures of the Company for the fiscal years listed below. This disclosure has been prepared in accordance with Item 402(v) of Regulation S-K under the Securities Exchange Act of 1934 (the “Pay Versus Performance Rules”) and does not necessarily reflect how the Compensation Committee evaluates compensation decisions. </w:t>
      </w:r>
    </w:p>
    <w:p w14:paraId="618A05EB" w14:textId="77777777" w:rsidR="00D246A9" w:rsidRDefault="00D246A9" w:rsidP="008E18EB">
      <w:pPr>
        <w:pStyle w:val="Heading4"/>
      </w:pPr>
      <w:r>
        <w:t xml:space="preserve">Pay for Performance Table </w:t>
      </w:r>
    </w:p>
    <w:p w14:paraId="0711FC24"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568"/>
        <w:gridCol w:w="1364"/>
        <w:gridCol w:w="1364"/>
        <w:gridCol w:w="1364"/>
        <w:gridCol w:w="1364"/>
        <w:gridCol w:w="1204"/>
        <w:gridCol w:w="1204"/>
        <w:gridCol w:w="1164"/>
        <w:gridCol w:w="1204"/>
      </w:tblGrid>
      <w:tr w:rsidR="00D246A9" w14:paraId="6C895A66" w14:textId="77777777" w:rsidTr="00FE0A0A">
        <w:trPr>
          <w:cantSplit/>
          <w:tblHeader/>
        </w:trPr>
        <w:tc>
          <w:tcPr>
            <w:tcW w:w="568" w:type="dxa"/>
            <w:vMerge w:val="restart"/>
            <w:tcBorders>
              <w:bottom w:val="single" w:sz="8" w:space="0" w:color="000000"/>
            </w:tcBorders>
            <w:vAlign w:val="bottom"/>
            <w:hideMark/>
          </w:tcPr>
          <w:p w14:paraId="32A56E97" w14:textId="77777777" w:rsidR="00D246A9" w:rsidRPr="00306F7C" w:rsidRDefault="00D246A9" w:rsidP="00D87FF2">
            <w:pPr>
              <w:pStyle w:val="NormalWeb"/>
              <w:keepNext/>
              <w:spacing w:before="0" w:beforeAutospacing="0" w:after="0" w:afterAutospacing="0"/>
              <w:ind w:firstLine="120"/>
              <w:rPr>
                <w:rFonts w:ascii="Arial" w:hAnsi="Arial" w:cs="Arial"/>
                <w:sz w:val="16"/>
                <w:szCs w:val="16"/>
              </w:rPr>
            </w:pPr>
            <w:r>
              <w:rPr>
                <w:rFonts w:ascii="Arial" w:hAnsi="Arial" w:cs="Arial"/>
                <w:b/>
                <w:bCs/>
                <w:sz w:val="16"/>
                <w:szCs w:val="16"/>
              </w:rPr>
              <w:t>Year</w:t>
            </w:r>
            <w:r>
              <w:rPr>
                <w:rFonts w:ascii="Arial" w:hAnsi="Arial" w:cs="Arial"/>
                <w:b/>
                <w:bCs/>
                <w:sz w:val="12"/>
                <w:szCs w:val="12"/>
                <w:vertAlign w:val="superscript"/>
              </w:rPr>
              <w:t>1</w:t>
            </w:r>
          </w:p>
          <w:p w14:paraId="0F906B74" w14:textId="77777777" w:rsidR="00D246A9" w:rsidRDefault="00D246A9" w:rsidP="00D87FF2">
            <w:pPr>
              <w:pStyle w:val="NormalWeb"/>
              <w:keepNext/>
              <w:spacing w:before="0" w:beforeAutospacing="0" w:after="0" w:afterAutospacing="0"/>
              <w:ind w:firstLine="120"/>
              <w:rPr>
                <w:rFonts w:ascii="Arial" w:hAnsi="Arial" w:cs="Arial"/>
                <w:sz w:val="16"/>
                <w:szCs w:val="16"/>
              </w:rPr>
            </w:pPr>
            <w:r>
              <w:rPr>
                <w:rFonts w:ascii="Arial" w:hAnsi="Arial" w:cs="Arial"/>
                <w:b/>
                <w:bCs/>
                <w:sz w:val="16"/>
                <w:szCs w:val="16"/>
              </w:rPr>
              <w:t>(a)</w:t>
            </w:r>
          </w:p>
          <w:p w14:paraId="3276F764" w14:textId="77777777" w:rsidR="00D246A9" w:rsidRDefault="00D246A9" w:rsidP="00D87FF2">
            <w:pPr>
              <w:pStyle w:val="NormalWeb"/>
              <w:keepNext/>
              <w:spacing w:before="0" w:beforeAutospacing="0" w:after="0" w:afterAutospacing="0"/>
              <w:rPr>
                <w:rFonts w:ascii="Arial" w:hAnsi="Arial" w:cs="Arial"/>
                <w:sz w:val="4"/>
                <w:szCs w:val="4"/>
              </w:rPr>
            </w:pPr>
            <w:r>
              <w:rPr>
                <w:rFonts w:ascii="Arial" w:hAnsi="Arial" w:cs="Arial"/>
                <w:sz w:val="4"/>
                <w:szCs w:val="4"/>
              </w:rPr>
              <w:t> </w:t>
            </w:r>
          </w:p>
        </w:tc>
        <w:tc>
          <w:tcPr>
            <w:tcW w:w="1364" w:type="dxa"/>
            <w:vMerge w:val="restart"/>
            <w:tcBorders>
              <w:bottom w:val="single" w:sz="8" w:space="0" w:color="000000"/>
            </w:tcBorders>
            <w:tcMar>
              <w:top w:w="0" w:type="dxa"/>
              <w:left w:w="144" w:type="dxa"/>
              <w:bottom w:w="0" w:type="dxa"/>
              <w:right w:w="0" w:type="dxa"/>
            </w:tcMar>
            <w:vAlign w:val="bottom"/>
            <w:hideMark/>
          </w:tcPr>
          <w:p w14:paraId="18FD7E4A"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Summary</w:t>
            </w:r>
            <w:r>
              <w:rPr>
                <w:rFonts w:ascii="Arial" w:hAnsi="Arial" w:cs="Arial"/>
                <w:b/>
                <w:bCs/>
                <w:sz w:val="16"/>
                <w:szCs w:val="16"/>
              </w:rPr>
              <w:br/>
              <w:t>Compensation</w:t>
            </w:r>
            <w:r>
              <w:rPr>
                <w:rFonts w:ascii="Arial" w:hAnsi="Arial" w:cs="Arial"/>
                <w:b/>
                <w:bCs/>
                <w:sz w:val="16"/>
                <w:szCs w:val="16"/>
              </w:rPr>
              <w:br/>
              <w:t>Table Total</w:t>
            </w:r>
            <w:r>
              <w:rPr>
                <w:rFonts w:ascii="Arial" w:hAnsi="Arial" w:cs="Arial"/>
                <w:b/>
                <w:bCs/>
                <w:sz w:val="16"/>
                <w:szCs w:val="16"/>
              </w:rPr>
              <w:br/>
              <w:t>for PEO</w:t>
            </w:r>
          </w:p>
          <w:p w14:paraId="4FE290E2"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 (b)</w:t>
            </w:r>
          </w:p>
          <w:p w14:paraId="41DD0A30"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364" w:type="dxa"/>
            <w:vMerge w:val="restart"/>
            <w:tcBorders>
              <w:bottom w:val="single" w:sz="8" w:space="0" w:color="000000"/>
            </w:tcBorders>
            <w:tcMar>
              <w:top w:w="0" w:type="dxa"/>
              <w:left w:w="144" w:type="dxa"/>
              <w:bottom w:w="0" w:type="dxa"/>
              <w:right w:w="0" w:type="dxa"/>
            </w:tcMar>
            <w:vAlign w:val="bottom"/>
            <w:hideMark/>
          </w:tcPr>
          <w:p w14:paraId="57DCB657"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Compensation</w:t>
            </w:r>
            <w:r>
              <w:rPr>
                <w:rFonts w:ascii="Arial" w:hAnsi="Arial" w:cs="Arial"/>
                <w:b/>
                <w:bCs/>
                <w:sz w:val="16"/>
                <w:szCs w:val="16"/>
              </w:rPr>
              <w:br/>
              <w:t>Actually Paid</w:t>
            </w:r>
            <w:r>
              <w:rPr>
                <w:rFonts w:ascii="Arial" w:hAnsi="Arial" w:cs="Arial"/>
                <w:b/>
                <w:bCs/>
                <w:sz w:val="16"/>
                <w:szCs w:val="16"/>
              </w:rPr>
              <w:br/>
              <w:t>to PEO</w:t>
            </w:r>
            <w:r>
              <w:rPr>
                <w:rFonts w:ascii="Arial" w:hAnsi="Arial" w:cs="Arial"/>
                <w:b/>
                <w:bCs/>
                <w:sz w:val="12"/>
                <w:szCs w:val="12"/>
                <w:vertAlign w:val="superscript"/>
              </w:rPr>
              <w:t>2</w:t>
            </w:r>
          </w:p>
          <w:p w14:paraId="494C1ED1"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 (c)</w:t>
            </w:r>
          </w:p>
          <w:p w14:paraId="08471165"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364" w:type="dxa"/>
            <w:vMerge w:val="restart"/>
            <w:tcBorders>
              <w:bottom w:val="single" w:sz="8" w:space="0" w:color="000000"/>
            </w:tcBorders>
            <w:tcMar>
              <w:top w:w="0" w:type="dxa"/>
              <w:left w:w="144" w:type="dxa"/>
              <w:bottom w:w="0" w:type="dxa"/>
              <w:right w:w="0" w:type="dxa"/>
            </w:tcMar>
            <w:vAlign w:val="bottom"/>
            <w:hideMark/>
          </w:tcPr>
          <w:p w14:paraId="2972FE86"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Average</w:t>
            </w:r>
            <w:r>
              <w:rPr>
                <w:rFonts w:ascii="Arial" w:hAnsi="Arial" w:cs="Arial"/>
                <w:b/>
                <w:bCs/>
                <w:sz w:val="16"/>
                <w:szCs w:val="16"/>
              </w:rPr>
              <w:br/>
              <w:t>Summary</w:t>
            </w:r>
            <w:r>
              <w:rPr>
                <w:rFonts w:ascii="Arial" w:hAnsi="Arial" w:cs="Arial"/>
                <w:b/>
                <w:bCs/>
                <w:sz w:val="16"/>
                <w:szCs w:val="16"/>
              </w:rPr>
              <w:br/>
              <w:t>Compensation</w:t>
            </w:r>
            <w:r>
              <w:rPr>
                <w:rFonts w:ascii="Arial" w:hAnsi="Arial" w:cs="Arial"/>
                <w:b/>
                <w:bCs/>
                <w:sz w:val="16"/>
                <w:szCs w:val="16"/>
              </w:rPr>
              <w:br/>
              <w:t>Table Total</w:t>
            </w:r>
            <w:r>
              <w:rPr>
                <w:rFonts w:ascii="Arial" w:hAnsi="Arial" w:cs="Arial"/>
                <w:b/>
                <w:bCs/>
                <w:sz w:val="16"/>
                <w:szCs w:val="16"/>
              </w:rPr>
              <w:br/>
              <w:t>for Non-PEO</w:t>
            </w:r>
            <w:r>
              <w:rPr>
                <w:rFonts w:ascii="Arial" w:hAnsi="Arial" w:cs="Arial"/>
                <w:b/>
                <w:bCs/>
                <w:sz w:val="16"/>
                <w:szCs w:val="16"/>
              </w:rPr>
              <w:br/>
              <w:t>Named</w:t>
            </w:r>
          </w:p>
          <w:p w14:paraId="3B9B2250"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Executive</w:t>
            </w:r>
          </w:p>
          <w:p w14:paraId="4980236A"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Officers</w:t>
            </w:r>
            <w:r>
              <w:rPr>
                <w:rFonts w:ascii="Arial" w:hAnsi="Arial" w:cs="Arial"/>
                <w:b/>
                <w:bCs/>
                <w:sz w:val="16"/>
                <w:szCs w:val="16"/>
              </w:rPr>
              <w:br/>
              <w:t>($) (d)</w:t>
            </w:r>
          </w:p>
          <w:p w14:paraId="53DB76DE"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364" w:type="dxa"/>
            <w:vMerge w:val="restart"/>
            <w:tcBorders>
              <w:bottom w:val="single" w:sz="8" w:space="0" w:color="000000"/>
            </w:tcBorders>
            <w:tcMar>
              <w:top w:w="0" w:type="dxa"/>
              <w:left w:w="144" w:type="dxa"/>
              <w:bottom w:w="0" w:type="dxa"/>
              <w:right w:w="0" w:type="dxa"/>
            </w:tcMar>
            <w:vAlign w:val="bottom"/>
            <w:hideMark/>
          </w:tcPr>
          <w:p w14:paraId="256C08ED"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Average</w:t>
            </w:r>
            <w:r>
              <w:rPr>
                <w:rFonts w:ascii="Arial" w:hAnsi="Arial" w:cs="Arial"/>
                <w:b/>
                <w:bCs/>
                <w:sz w:val="16"/>
                <w:szCs w:val="16"/>
              </w:rPr>
              <w:br/>
              <w:t>Compensation</w:t>
            </w:r>
            <w:r>
              <w:rPr>
                <w:rFonts w:ascii="Arial" w:hAnsi="Arial" w:cs="Arial"/>
                <w:b/>
                <w:bCs/>
                <w:sz w:val="16"/>
                <w:szCs w:val="16"/>
              </w:rPr>
              <w:br/>
              <w:t>Actually</w:t>
            </w:r>
          </w:p>
          <w:p w14:paraId="3C9F439D"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Paid to</w:t>
            </w:r>
            <w:r>
              <w:rPr>
                <w:rFonts w:ascii="Arial" w:hAnsi="Arial" w:cs="Arial"/>
                <w:b/>
                <w:bCs/>
                <w:sz w:val="16"/>
                <w:szCs w:val="16"/>
              </w:rPr>
              <w:br/>
              <w:t>Non-PEO</w:t>
            </w:r>
            <w:r>
              <w:rPr>
                <w:rFonts w:ascii="Arial" w:hAnsi="Arial" w:cs="Arial"/>
                <w:b/>
                <w:bCs/>
                <w:sz w:val="16"/>
                <w:szCs w:val="16"/>
              </w:rPr>
              <w:br/>
              <w:t>Named</w:t>
            </w:r>
          </w:p>
          <w:p w14:paraId="44F1BDDE"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Executive</w:t>
            </w:r>
          </w:p>
          <w:p w14:paraId="090DD3B4"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Officers</w:t>
            </w:r>
            <w:r>
              <w:rPr>
                <w:rFonts w:ascii="Arial" w:hAnsi="Arial" w:cs="Arial"/>
                <w:b/>
                <w:bCs/>
                <w:sz w:val="12"/>
                <w:szCs w:val="12"/>
                <w:vertAlign w:val="superscript"/>
              </w:rPr>
              <w:t>2</w:t>
            </w:r>
          </w:p>
          <w:p w14:paraId="727F6300"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 (e)</w:t>
            </w:r>
          </w:p>
          <w:p w14:paraId="1C05E333"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2408" w:type="dxa"/>
            <w:gridSpan w:val="2"/>
            <w:tcMar>
              <w:top w:w="0" w:type="dxa"/>
              <w:left w:w="144" w:type="dxa"/>
              <w:bottom w:w="0" w:type="dxa"/>
              <w:right w:w="0" w:type="dxa"/>
            </w:tcMar>
            <w:vAlign w:val="bottom"/>
            <w:hideMark/>
          </w:tcPr>
          <w:p w14:paraId="28E9DA18" w14:textId="77777777" w:rsidR="00D246A9" w:rsidRDefault="00D246A9" w:rsidP="00D87FF2">
            <w:pPr>
              <w:pStyle w:val="NormalWeb"/>
              <w:spacing w:before="0" w:beforeAutospacing="0" w:after="0" w:afterAutospacing="0"/>
              <w:rPr>
                <w:rFonts w:ascii="Arial" w:hAnsi="Arial" w:cs="Arial"/>
                <w:sz w:val="16"/>
                <w:szCs w:val="16"/>
              </w:rPr>
            </w:pPr>
            <w:r>
              <w:rPr>
                <w:rFonts w:ascii="Arial" w:hAnsi="Arial" w:cs="Arial"/>
                <w:sz w:val="16"/>
                <w:szCs w:val="16"/>
              </w:rPr>
              <w:t> </w:t>
            </w:r>
          </w:p>
          <w:p w14:paraId="2E6097E5"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Value of Initial Fixed $100</w:t>
            </w:r>
          </w:p>
          <w:p w14:paraId="4AB0097A" w14:textId="77777777" w:rsidR="00D246A9" w:rsidRDefault="00D246A9" w:rsidP="00D87FF2">
            <w:pPr>
              <w:pStyle w:val="NormalWeb"/>
              <w:spacing w:before="0" w:beforeAutospacing="0" w:after="0" w:afterAutospacing="0"/>
              <w:jc w:val="center"/>
              <w:rPr>
                <w:rFonts w:ascii="Arial" w:hAnsi="Arial" w:cs="Arial"/>
                <w:sz w:val="16"/>
                <w:szCs w:val="16"/>
              </w:rPr>
            </w:pPr>
            <w:r>
              <w:rPr>
                <w:rFonts w:ascii="Arial" w:hAnsi="Arial" w:cs="Arial"/>
                <w:b/>
                <w:bCs/>
                <w:sz w:val="16"/>
                <w:szCs w:val="16"/>
              </w:rPr>
              <w:t>Investment Based On:</w:t>
            </w:r>
            <w:r>
              <w:rPr>
                <w:rFonts w:ascii="Arial" w:hAnsi="Arial" w:cs="Arial"/>
                <w:b/>
                <w:bCs/>
                <w:sz w:val="12"/>
                <w:szCs w:val="12"/>
                <w:vertAlign w:val="superscript"/>
              </w:rPr>
              <w:t>3</w:t>
            </w:r>
          </w:p>
          <w:p w14:paraId="5E686CA1" w14:textId="77777777" w:rsidR="00D246A9" w:rsidRDefault="00D246A9" w:rsidP="00D87FF2">
            <w:pPr>
              <w:pStyle w:val="rrdsinglerule"/>
              <w:spacing w:before="0"/>
              <w:rPr>
                <w:rFonts w:ascii="Arial" w:hAnsi="Arial" w:cs="Arial"/>
                <w:sz w:val="16"/>
                <w:szCs w:val="16"/>
              </w:rPr>
            </w:pPr>
            <w:r>
              <w:rPr>
                <w:rFonts w:ascii="Arial" w:hAnsi="Arial" w:cs="Arial"/>
                <w:sz w:val="16"/>
                <w:szCs w:val="16"/>
              </w:rPr>
              <w:t> </w:t>
            </w:r>
          </w:p>
        </w:tc>
        <w:tc>
          <w:tcPr>
            <w:tcW w:w="1164" w:type="dxa"/>
            <w:vMerge w:val="restart"/>
            <w:tcBorders>
              <w:bottom w:val="single" w:sz="8" w:space="0" w:color="000000"/>
            </w:tcBorders>
            <w:tcMar>
              <w:top w:w="0" w:type="dxa"/>
              <w:left w:w="144" w:type="dxa"/>
              <w:bottom w:w="0" w:type="dxa"/>
              <w:right w:w="0" w:type="dxa"/>
            </w:tcMar>
            <w:vAlign w:val="bottom"/>
            <w:hideMark/>
          </w:tcPr>
          <w:p w14:paraId="671C3820"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Net Income</w:t>
            </w:r>
          </w:p>
          <w:p w14:paraId="40A20315"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w:t>
            </w:r>
            <w:r>
              <w:rPr>
                <w:rFonts w:ascii="Arial" w:hAnsi="Arial" w:cs="Arial"/>
                <w:b/>
                <w:bCs/>
                <w:sz w:val="16"/>
                <w:szCs w:val="16"/>
              </w:rPr>
              <w:br/>
              <w:t>(in millions)</w:t>
            </w:r>
          </w:p>
          <w:p w14:paraId="225D2634"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(h)</w:t>
            </w:r>
          </w:p>
          <w:p w14:paraId="6A8F701B"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204" w:type="dxa"/>
            <w:vMerge w:val="restart"/>
            <w:tcBorders>
              <w:bottom w:val="single" w:sz="8" w:space="0" w:color="000000"/>
            </w:tcBorders>
            <w:tcMar>
              <w:top w:w="0" w:type="dxa"/>
              <w:left w:w="144" w:type="dxa"/>
              <w:bottom w:w="0" w:type="dxa"/>
              <w:right w:w="0" w:type="dxa"/>
            </w:tcMar>
            <w:vAlign w:val="bottom"/>
            <w:hideMark/>
          </w:tcPr>
          <w:p w14:paraId="1BCCA622"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Microsoft</w:t>
            </w:r>
            <w:r>
              <w:rPr>
                <w:rFonts w:ascii="Arial" w:hAnsi="Arial" w:cs="Arial"/>
                <w:b/>
                <w:bCs/>
                <w:sz w:val="16"/>
                <w:szCs w:val="16"/>
              </w:rPr>
              <w:br/>
              <w:t>Incentive</w:t>
            </w:r>
            <w:r>
              <w:rPr>
                <w:rFonts w:ascii="Arial" w:hAnsi="Arial" w:cs="Arial"/>
                <w:b/>
                <w:bCs/>
                <w:sz w:val="16"/>
                <w:szCs w:val="16"/>
              </w:rPr>
              <w:br/>
              <w:t>Plan</w:t>
            </w:r>
            <w:r>
              <w:rPr>
                <w:rFonts w:ascii="Arial" w:hAnsi="Arial" w:cs="Arial"/>
                <w:b/>
                <w:bCs/>
                <w:sz w:val="16"/>
                <w:szCs w:val="16"/>
              </w:rPr>
              <w:br/>
              <w:t>Revenue</w:t>
            </w:r>
            <w:r>
              <w:rPr>
                <w:rFonts w:ascii="Arial" w:hAnsi="Arial" w:cs="Arial"/>
                <w:b/>
                <w:bCs/>
                <w:sz w:val="12"/>
                <w:szCs w:val="12"/>
                <w:vertAlign w:val="superscript"/>
              </w:rPr>
              <w:t>4</w:t>
            </w:r>
          </w:p>
          <w:p w14:paraId="150E3687"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w:t>
            </w:r>
            <w:r>
              <w:rPr>
                <w:rFonts w:ascii="Arial" w:hAnsi="Arial" w:cs="Arial"/>
                <w:b/>
                <w:bCs/>
                <w:sz w:val="16"/>
                <w:szCs w:val="16"/>
              </w:rPr>
              <w:br/>
              <w:t>(in billions)</w:t>
            </w:r>
          </w:p>
          <w:p w14:paraId="5D4E9A27"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w:t>
            </w:r>
            <w:proofErr w:type="spellStart"/>
            <w:r>
              <w:rPr>
                <w:rFonts w:ascii="Arial" w:hAnsi="Arial" w:cs="Arial"/>
                <w:b/>
                <w:bCs/>
                <w:sz w:val="16"/>
                <w:szCs w:val="16"/>
              </w:rPr>
              <w:t>i</w:t>
            </w:r>
            <w:proofErr w:type="spellEnd"/>
            <w:r>
              <w:rPr>
                <w:rFonts w:ascii="Arial" w:hAnsi="Arial" w:cs="Arial"/>
                <w:b/>
                <w:bCs/>
                <w:sz w:val="16"/>
                <w:szCs w:val="16"/>
              </w:rPr>
              <w:t>)</w:t>
            </w:r>
          </w:p>
          <w:p w14:paraId="2B7CC474"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246A9" w14:paraId="28FBB35F" w14:textId="77777777" w:rsidTr="00FE0A0A">
        <w:trPr>
          <w:cantSplit/>
          <w:tblHeader/>
        </w:trPr>
        <w:tc>
          <w:tcPr>
            <w:tcW w:w="568" w:type="dxa"/>
            <w:vMerge/>
            <w:tcBorders>
              <w:bottom w:val="single" w:sz="8" w:space="0" w:color="000000"/>
            </w:tcBorders>
            <w:vAlign w:val="center"/>
            <w:hideMark/>
          </w:tcPr>
          <w:p w14:paraId="6C5DE719" w14:textId="77777777" w:rsidR="00D246A9" w:rsidRPr="00306F7C" w:rsidRDefault="00D246A9" w:rsidP="00D87FF2">
            <w:pPr>
              <w:rPr>
                <w:rFonts w:ascii="Arial" w:hAnsi="Arial" w:cs="Arial"/>
                <w:sz w:val="4"/>
                <w:szCs w:val="4"/>
              </w:rPr>
            </w:pPr>
          </w:p>
        </w:tc>
        <w:tc>
          <w:tcPr>
            <w:tcW w:w="1364" w:type="dxa"/>
            <w:vMerge/>
            <w:tcBorders>
              <w:bottom w:val="single" w:sz="8" w:space="0" w:color="000000"/>
            </w:tcBorders>
            <w:vAlign w:val="center"/>
            <w:hideMark/>
          </w:tcPr>
          <w:p w14:paraId="6977A796" w14:textId="77777777" w:rsidR="00D246A9" w:rsidRPr="00306F7C" w:rsidRDefault="00D246A9" w:rsidP="00D87FF2">
            <w:pPr>
              <w:rPr>
                <w:rFonts w:ascii="Arial" w:hAnsi="Arial" w:cs="Arial"/>
                <w:sz w:val="4"/>
                <w:szCs w:val="4"/>
              </w:rPr>
            </w:pPr>
          </w:p>
        </w:tc>
        <w:tc>
          <w:tcPr>
            <w:tcW w:w="1364" w:type="dxa"/>
            <w:vMerge/>
            <w:tcBorders>
              <w:bottom w:val="single" w:sz="8" w:space="0" w:color="000000"/>
            </w:tcBorders>
            <w:vAlign w:val="center"/>
            <w:hideMark/>
          </w:tcPr>
          <w:p w14:paraId="2E6508EC" w14:textId="77777777" w:rsidR="00D246A9" w:rsidRPr="00306F7C" w:rsidRDefault="00D246A9" w:rsidP="00D87FF2">
            <w:pPr>
              <w:rPr>
                <w:rFonts w:ascii="Arial" w:hAnsi="Arial" w:cs="Arial"/>
                <w:sz w:val="4"/>
                <w:szCs w:val="4"/>
              </w:rPr>
            </w:pPr>
          </w:p>
        </w:tc>
        <w:tc>
          <w:tcPr>
            <w:tcW w:w="1364" w:type="dxa"/>
            <w:vMerge/>
            <w:tcBorders>
              <w:bottom w:val="single" w:sz="8" w:space="0" w:color="000000"/>
            </w:tcBorders>
            <w:vAlign w:val="center"/>
            <w:hideMark/>
          </w:tcPr>
          <w:p w14:paraId="751420FE" w14:textId="77777777" w:rsidR="00D246A9" w:rsidRPr="00306F7C" w:rsidRDefault="00D246A9" w:rsidP="00D87FF2">
            <w:pPr>
              <w:rPr>
                <w:rFonts w:ascii="Arial" w:hAnsi="Arial" w:cs="Arial"/>
                <w:sz w:val="4"/>
                <w:szCs w:val="4"/>
              </w:rPr>
            </w:pPr>
          </w:p>
        </w:tc>
        <w:tc>
          <w:tcPr>
            <w:tcW w:w="1364" w:type="dxa"/>
            <w:vMerge/>
            <w:tcBorders>
              <w:bottom w:val="single" w:sz="8" w:space="0" w:color="000000"/>
            </w:tcBorders>
            <w:vAlign w:val="center"/>
            <w:hideMark/>
          </w:tcPr>
          <w:p w14:paraId="2042B99F" w14:textId="77777777" w:rsidR="00D246A9" w:rsidRPr="00306F7C" w:rsidRDefault="00D246A9" w:rsidP="00D87FF2">
            <w:pPr>
              <w:rPr>
                <w:rFonts w:ascii="Arial" w:hAnsi="Arial" w:cs="Arial"/>
                <w:sz w:val="4"/>
                <w:szCs w:val="4"/>
              </w:rPr>
            </w:pPr>
          </w:p>
        </w:tc>
        <w:tc>
          <w:tcPr>
            <w:tcW w:w="1204" w:type="dxa"/>
            <w:tcBorders>
              <w:bottom w:val="single" w:sz="8" w:space="0" w:color="000000"/>
            </w:tcBorders>
            <w:tcMar>
              <w:top w:w="0" w:type="dxa"/>
              <w:left w:w="144" w:type="dxa"/>
              <w:bottom w:w="0" w:type="dxa"/>
              <w:right w:w="0" w:type="dxa"/>
            </w:tcMar>
            <w:vAlign w:val="bottom"/>
            <w:hideMark/>
          </w:tcPr>
          <w:p w14:paraId="3AD7BA4A" w14:textId="77777777" w:rsidR="00D246A9" w:rsidRDefault="00D246A9" w:rsidP="00D87FF2">
            <w:pPr>
              <w:jc w:val="right"/>
              <w:rPr>
                <w:rFonts w:ascii="Arial" w:hAnsi="Arial" w:cs="Arial"/>
                <w:sz w:val="18"/>
                <w:szCs w:val="18"/>
              </w:rPr>
            </w:pPr>
            <w:r>
              <w:rPr>
                <w:rFonts w:ascii="Arial" w:hAnsi="Arial" w:cs="Arial"/>
                <w:b/>
                <w:bCs/>
                <w:sz w:val="16"/>
                <w:szCs w:val="16"/>
              </w:rPr>
              <w:t>Microsoft</w:t>
            </w:r>
            <w:r>
              <w:rPr>
                <w:rFonts w:ascii="Arial" w:hAnsi="Arial" w:cs="Arial"/>
                <w:b/>
                <w:bCs/>
                <w:sz w:val="16"/>
                <w:szCs w:val="16"/>
              </w:rPr>
              <w:br/>
              <w:t>Total</w:t>
            </w:r>
            <w:r>
              <w:rPr>
                <w:rFonts w:ascii="Arial" w:hAnsi="Arial" w:cs="Arial"/>
                <w:b/>
                <w:bCs/>
                <w:sz w:val="16"/>
                <w:szCs w:val="16"/>
              </w:rPr>
              <w:br/>
              <w:t>Shareholder</w:t>
            </w:r>
            <w:r>
              <w:rPr>
                <w:rFonts w:ascii="Arial" w:hAnsi="Arial" w:cs="Arial"/>
                <w:b/>
                <w:bCs/>
                <w:sz w:val="16"/>
                <w:szCs w:val="16"/>
              </w:rPr>
              <w:br/>
              <w:t>Return</w:t>
            </w:r>
            <w:r>
              <w:rPr>
                <w:rFonts w:ascii="Arial" w:hAnsi="Arial" w:cs="Arial"/>
                <w:b/>
                <w:bCs/>
                <w:sz w:val="16"/>
                <w:szCs w:val="16"/>
              </w:rPr>
              <w:br/>
              <w:t>($) (f)</w:t>
            </w:r>
          </w:p>
        </w:tc>
        <w:tc>
          <w:tcPr>
            <w:tcW w:w="1204" w:type="dxa"/>
            <w:tcBorders>
              <w:bottom w:val="single" w:sz="8" w:space="0" w:color="000000"/>
            </w:tcBorders>
            <w:tcMar>
              <w:top w:w="0" w:type="dxa"/>
              <w:left w:w="144" w:type="dxa"/>
              <w:bottom w:w="0" w:type="dxa"/>
              <w:right w:w="0" w:type="dxa"/>
            </w:tcMar>
            <w:vAlign w:val="bottom"/>
            <w:hideMark/>
          </w:tcPr>
          <w:p w14:paraId="01128533" w14:textId="77777777" w:rsidR="00D246A9" w:rsidRDefault="00D246A9" w:rsidP="00D87FF2">
            <w:pPr>
              <w:jc w:val="right"/>
              <w:rPr>
                <w:rFonts w:ascii="Arial" w:hAnsi="Arial" w:cs="Arial"/>
                <w:sz w:val="18"/>
                <w:szCs w:val="18"/>
              </w:rPr>
            </w:pPr>
            <w:r>
              <w:rPr>
                <w:rFonts w:ascii="Arial" w:hAnsi="Arial" w:cs="Arial"/>
                <w:b/>
                <w:bCs/>
                <w:sz w:val="16"/>
                <w:szCs w:val="16"/>
              </w:rPr>
              <w:t>Peer Group</w:t>
            </w:r>
            <w:r>
              <w:rPr>
                <w:rFonts w:ascii="Arial" w:hAnsi="Arial" w:cs="Arial"/>
                <w:b/>
                <w:bCs/>
                <w:sz w:val="16"/>
                <w:szCs w:val="16"/>
              </w:rPr>
              <w:br/>
              <w:t>Total</w:t>
            </w:r>
            <w:r>
              <w:rPr>
                <w:rFonts w:ascii="Arial" w:hAnsi="Arial" w:cs="Arial"/>
                <w:b/>
                <w:bCs/>
                <w:sz w:val="16"/>
                <w:szCs w:val="16"/>
              </w:rPr>
              <w:br/>
              <w:t>Shareholder</w:t>
            </w:r>
            <w:r>
              <w:rPr>
                <w:rFonts w:ascii="Arial" w:hAnsi="Arial" w:cs="Arial"/>
                <w:b/>
                <w:bCs/>
                <w:sz w:val="16"/>
                <w:szCs w:val="16"/>
              </w:rPr>
              <w:br/>
              <w:t>Return</w:t>
            </w:r>
            <w:r>
              <w:rPr>
                <w:rFonts w:ascii="Arial" w:hAnsi="Arial" w:cs="Arial"/>
                <w:b/>
                <w:bCs/>
                <w:sz w:val="16"/>
                <w:szCs w:val="16"/>
              </w:rPr>
              <w:br/>
              <w:t>($) (g)</w:t>
            </w:r>
          </w:p>
        </w:tc>
        <w:tc>
          <w:tcPr>
            <w:tcW w:w="1164" w:type="dxa"/>
            <w:vMerge/>
            <w:tcBorders>
              <w:bottom w:val="single" w:sz="8" w:space="0" w:color="000000"/>
            </w:tcBorders>
            <w:vAlign w:val="center"/>
            <w:hideMark/>
          </w:tcPr>
          <w:p w14:paraId="3E8CA09D" w14:textId="77777777" w:rsidR="00D246A9" w:rsidRPr="00306F7C" w:rsidRDefault="00D246A9" w:rsidP="00D87FF2">
            <w:pPr>
              <w:rPr>
                <w:rFonts w:ascii="Arial" w:hAnsi="Arial" w:cs="Arial"/>
                <w:sz w:val="4"/>
                <w:szCs w:val="4"/>
              </w:rPr>
            </w:pPr>
          </w:p>
        </w:tc>
        <w:tc>
          <w:tcPr>
            <w:tcW w:w="1204" w:type="dxa"/>
            <w:vMerge/>
            <w:tcBorders>
              <w:bottom w:val="single" w:sz="8" w:space="0" w:color="000000"/>
            </w:tcBorders>
            <w:vAlign w:val="center"/>
            <w:hideMark/>
          </w:tcPr>
          <w:p w14:paraId="33FA6B86" w14:textId="77777777" w:rsidR="00D246A9" w:rsidRPr="00306F7C" w:rsidRDefault="00D246A9" w:rsidP="00D87FF2">
            <w:pPr>
              <w:rPr>
                <w:rFonts w:ascii="Arial" w:hAnsi="Arial" w:cs="Arial"/>
                <w:sz w:val="4"/>
                <w:szCs w:val="4"/>
              </w:rPr>
            </w:pPr>
          </w:p>
        </w:tc>
      </w:tr>
      <w:tr w:rsidR="00D246A9" w14:paraId="7F78F545" w14:textId="77777777" w:rsidTr="00FE0A0A">
        <w:trPr>
          <w:cantSplit/>
        </w:trPr>
        <w:tc>
          <w:tcPr>
            <w:tcW w:w="568" w:type="dxa"/>
            <w:tcBorders>
              <w:bottom w:val="single" w:sz="6" w:space="0" w:color="0075C9"/>
            </w:tcBorders>
            <w:tcMar>
              <w:top w:w="0" w:type="dxa"/>
              <w:left w:w="0" w:type="dxa"/>
              <w:bottom w:w="40" w:type="dxa"/>
              <w:right w:w="0" w:type="dxa"/>
            </w:tcMar>
            <w:hideMark/>
          </w:tcPr>
          <w:p w14:paraId="3090462E" w14:textId="77777777" w:rsidR="00D246A9" w:rsidRPr="00306F7C" w:rsidRDefault="00D246A9" w:rsidP="00D87FF2">
            <w:pPr>
              <w:pStyle w:val="NormalWeb"/>
              <w:keepNext/>
              <w:spacing w:before="0" w:beforeAutospacing="0" w:after="0" w:afterAutospacing="0"/>
              <w:ind w:left="391" w:hanging="240"/>
              <w:rPr>
                <w:rFonts w:ascii="Arial" w:hAnsi="Arial" w:cs="Arial"/>
                <w:sz w:val="16"/>
                <w:szCs w:val="16"/>
              </w:rPr>
            </w:pPr>
            <w:r>
              <w:rPr>
                <w:rFonts w:ascii="Arial" w:hAnsi="Arial" w:cs="Arial"/>
                <w:sz w:val="16"/>
                <w:szCs w:val="16"/>
              </w:rPr>
              <w:t>2023</w:t>
            </w:r>
          </w:p>
        </w:tc>
        <w:tc>
          <w:tcPr>
            <w:tcW w:w="1364" w:type="dxa"/>
            <w:tcBorders>
              <w:bottom w:val="single" w:sz="6" w:space="0" w:color="0075C9"/>
            </w:tcBorders>
            <w:noWrap/>
            <w:tcMar>
              <w:top w:w="0" w:type="dxa"/>
              <w:left w:w="144" w:type="dxa"/>
              <w:bottom w:w="0" w:type="dxa"/>
              <w:right w:w="0" w:type="dxa"/>
            </w:tcMar>
            <w:vAlign w:val="bottom"/>
            <w:hideMark/>
          </w:tcPr>
          <w:p w14:paraId="29E12210"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48,512,537</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3CE48100"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93,079,188</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2535B7E4"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16,009,805</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18DC65F8"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29,288,965</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5A40A127"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172</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7C7328A2"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168</w:t>
            </w:r>
            <w:r>
              <w:rPr>
                <w:rFonts w:ascii="Arial" w:hAnsi="Arial" w:cs="Arial"/>
                <w:sz w:val="16"/>
                <w:szCs w:val="16"/>
              </w:rPr>
              <w:tab/>
            </w:r>
          </w:p>
        </w:tc>
        <w:tc>
          <w:tcPr>
            <w:tcW w:w="1164" w:type="dxa"/>
            <w:tcBorders>
              <w:bottom w:val="single" w:sz="6" w:space="0" w:color="0075C9"/>
            </w:tcBorders>
            <w:noWrap/>
            <w:tcMar>
              <w:top w:w="0" w:type="dxa"/>
              <w:left w:w="144" w:type="dxa"/>
              <w:bottom w:w="0" w:type="dxa"/>
              <w:right w:w="0" w:type="dxa"/>
            </w:tcMar>
            <w:vAlign w:val="bottom"/>
            <w:hideMark/>
          </w:tcPr>
          <w:p w14:paraId="68EADC64" w14:textId="77777777" w:rsidR="00D246A9" w:rsidRDefault="00D246A9" w:rsidP="00D87FF2">
            <w:pPr>
              <w:pStyle w:val="NormalWeb"/>
              <w:tabs>
                <w:tab w:val="right" w:pos="980"/>
                <w:tab w:val="decimal" w:pos="1020"/>
              </w:tabs>
              <w:spacing w:before="0" w:beforeAutospacing="0" w:after="0" w:afterAutospacing="0"/>
              <w:rPr>
                <w:rFonts w:ascii="Arial" w:hAnsi="Arial" w:cs="Arial"/>
                <w:sz w:val="16"/>
                <w:szCs w:val="16"/>
              </w:rPr>
            </w:pPr>
            <w:r>
              <w:rPr>
                <w:rFonts w:ascii="Arial" w:hAnsi="Arial" w:cs="Arial"/>
                <w:sz w:val="16"/>
                <w:szCs w:val="16"/>
              </w:rPr>
              <w:tab/>
              <w:t>72,361</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1515C6D1"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220.08</w:t>
            </w:r>
            <w:r>
              <w:rPr>
                <w:rFonts w:ascii="Arial" w:hAnsi="Arial" w:cs="Arial"/>
                <w:sz w:val="16"/>
                <w:szCs w:val="16"/>
              </w:rPr>
              <w:tab/>
            </w:r>
          </w:p>
        </w:tc>
      </w:tr>
      <w:tr w:rsidR="00D246A9" w14:paraId="4A9B5B09" w14:textId="77777777" w:rsidTr="00FE0A0A">
        <w:trPr>
          <w:cantSplit/>
        </w:trPr>
        <w:tc>
          <w:tcPr>
            <w:tcW w:w="568" w:type="dxa"/>
            <w:tcBorders>
              <w:bottom w:val="single" w:sz="6" w:space="0" w:color="0075C9"/>
            </w:tcBorders>
            <w:tcMar>
              <w:top w:w="0" w:type="dxa"/>
              <w:left w:w="0" w:type="dxa"/>
              <w:bottom w:w="40" w:type="dxa"/>
              <w:right w:w="0" w:type="dxa"/>
            </w:tcMar>
            <w:hideMark/>
          </w:tcPr>
          <w:p w14:paraId="48CC3E17" w14:textId="77777777" w:rsidR="00D246A9" w:rsidRPr="00306F7C" w:rsidRDefault="00D246A9" w:rsidP="00D87FF2">
            <w:pPr>
              <w:pStyle w:val="NormalWeb"/>
              <w:keepNext/>
              <w:spacing w:before="0" w:beforeAutospacing="0" w:after="0" w:afterAutospacing="0"/>
              <w:ind w:left="391" w:hanging="240"/>
              <w:rPr>
                <w:rFonts w:ascii="Arial" w:hAnsi="Arial" w:cs="Arial"/>
                <w:sz w:val="16"/>
                <w:szCs w:val="16"/>
              </w:rPr>
            </w:pPr>
            <w:r>
              <w:rPr>
                <w:rFonts w:ascii="Arial" w:hAnsi="Arial" w:cs="Arial"/>
                <w:sz w:val="16"/>
                <w:szCs w:val="16"/>
              </w:rPr>
              <w:t>2022</w:t>
            </w:r>
          </w:p>
        </w:tc>
        <w:tc>
          <w:tcPr>
            <w:tcW w:w="1364" w:type="dxa"/>
            <w:tcBorders>
              <w:bottom w:val="single" w:sz="6" w:space="0" w:color="0075C9"/>
            </w:tcBorders>
            <w:noWrap/>
            <w:tcMar>
              <w:top w:w="0" w:type="dxa"/>
              <w:left w:w="144" w:type="dxa"/>
              <w:bottom w:w="0" w:type="dxa"/>
              <w:right w:w="0" w:type="dxa"/>
            </w:tcMar>
            <w:vAlign w:val="bottom"/>
            <w:hideMark/>
          </w:tcPr>
          <w:p w14:paraId="5E76D950"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54,946,310</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107BAD8E"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56,936,384</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73BDCBBE"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20,074,444</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533E29D7"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20,527,908</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12D7F3A7"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128</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01AAF948"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123</w:t>
            </w:r>
            <w:r>
              <w:rPr>
                <w:rFonts w:ascii="Arial" w:hAnsi="Arial" w:cs="Arial"/>
                <w:sz w:val="16"/>
                <w:szCs w:val="16"/>
              </w:rPr>
              <w:tab/>
            </w:r>
          </w:p>
        </w:tc>
        <w:tc>
          <w:tcPr>
            <w:tcW w:w="1164" w:type="dxa"/>
            <w:tcBorders>
              <w:bottom w:val="single" w:sz="6" w:space="0" w:color="0075C9"/>
            </w:tcBorders>
            <w:noWrap/>
            <w:tcMar>
              <w:top w:w="0" w:type="dxa"/>
              <w:left w:w="144" w:type="dxa"/>
              <w:bottom w:w="0" w:type="dxa"/>
              <w:right w:w="0" w:type="dxa"/>
            </w:tcMar>
            <w:vAlign w:val="bottom"/>
            <w:hideMark/>
          </w:tcPr>
          <w:p w14:paraId="1729E7B2" w14:textId="77777777" w:rsidR="00D246A9" w:rsidRDefault="00D246A9" w:rsidP="00D87FF2">
            <w:pPr>
              <w:pStyle w:val="NormalWeb"/>
              <w:tabs>
                <w:tab w:val="right" w:pos="980"/>
                <w:tab w:val="decimal" w:pos="1020"/>
              </w:tabs>
              <w:spacing w:before="0" w:beforeAutospacing="0" w:after="0" w:afterAutospacing="0"/>
              <w:rPr>
                <w:rFonts w:ascii="Arial" w:hAnsi="Arial" w:cs="Arial"/>
                <w:sz w:val="16"/>
                <w:szCs w:val="16"/>
              </w:rPr>
            </w:pPr>
            <w:r>
              <w:rPr>
                <w:rFonts w:ascii="Arial" w:hAnsi="Arial" w:cs="Arial"/>
                <w:sz w:val="16"/>
                <w:szCs w:val="16"/>
              </w:rPr>
              <w:tab/>
              <w:t>72,738</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3DAA5568"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206.67</w:t>
            </w:r>
            <w:r>
              <w:rPr>
                <w:rFonts w:ascii="Arial" w:hAnsi="Arial" w:cs="Arial"/>
                <w:sz w:val="16"/>
                <w:szCs w:val="16"/>
              </w:rPr>
              <w:tab/>
            </w:r>
          </w:p>
        </w:tc>
      </w:tr>
      <w:tr w:rsidR="00D246A9" w14:paraId="6FDEE6DC" w14:textId="77777777" w:rsidTr="00FE0A0A">
        <w:trPr>
          <w:cantSplit/>
        </w:trPr>
        <w:tc>
          <w:tcPr>
            <w:tcW w:w="568" w:type="dxa"/>
            <w:tcBorders>
              <w:bottom w:val="single" w:sz="6" w:space="0" w:color="0075C9"/>
            </w:tcBorders>
            <w:tcMar>
              <w:top w:w="0" w:type="dxa"/>
              <w:left w:w="0" w:type="dxa"/>
              <w:bottom w:w="40" w:type="dxa"/>
              <w:right w:w="0" w:type="dxa"/>
            </w:tcMar>
            <w:hideMark/>
          </w:tcPr>
          <w:p w14:paraId="3DC258B5" w14:textId="77777777" w:rsidR="00D246A9" w:rsidRPr="00306F7C" w:rsidRDefault="00D246A9" w:rsidP="00D87FF2">
            <w:pPr>
              <w:pStyle w:val="NormalWeb"/>
              <w:spacing w:before="0" w:beforeAutospacing="0" w:after="0" w:afterAutospacing="0"/>
              <w:ind w:left="391" w:hanging="240"/>
              <w:rPr>
                <w:rFonts w:ascii="Arial" w:hAnsi="Arial" w:cs="Arial"/>
                <w:sz w:val="16"/>
                <w:szCs w:val="16"/>
              </w:rPr>
            </w:pPr>
            <w:r>
              <w:rPr>
                <w:rFonts w:ascii="Arial" w:hAnsi="Arial" w:cs="Arial"/>
                <w:sz w:val="16"/>
                <w:szCs w:val="16"/>
              </w:rPr>
              <w:t>2021</w:t>
            </w:r>
          </w:p>
        </w:tc>
        <w:tc>
          <w:tcPr>
            <w:tcW w:w="1364" w:type="dxa"/>
            <w:tcBorders>
              <w:bottom w:val="single" w:sz="6" w:space="0" w:color="0075C9"/>
            </w:tcBorders>
            <w:noWrap/>
            <w:tcMar>
              <w:top w:w="0" w:type="dxa"/>
              <w:left w:w="144" w:type="dxa"/>
              <w:bottom w:w="0" w:type="dxa"/>
              <w:right w:w="0" w:type="dxa"/>
            </w:tcMar>
            <w:vAlign w:val="bottom"/>
            <w:hideMark/>
          </w:tcPr>
          <w:p w14:paraId="63D1F02B"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49,858,280</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07F7885A"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139,060,569</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3E36994C"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22,306,746</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4FA3BFB7"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39,456,632</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57FEB7C8"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134</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61DD4780"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150</w:t>
            </w:r>
            <w:r>
              <w:rPr>
                <w:rFonts w:ascii="Arial" w:hAnsi="Arial" w:cs="Arial"/>
                <w:sz w:val="16"/>
                <w:szCs w:val="16"/>
              </w:rPr>
              <w:tab/>
            </w:r>
          </w:p>
        </w:tc>
        <w:tc>
          <w:tcPr>
            <w:tcW w:w="1164" w:type="dxa"/>
            <w:tcBorders>
              <w:bottom w:val="single" w:sz="6" w:space="0" w:color="0075C9"/>
            </w:tcBorders>
            <w:noWrap/>
            <w:tcMar>
              <w:top w:w="0" w:type="dxa"/>
              <w:left w:w="144" w:type="dxa"/>
              <w:bottom w:w="0" w:type="dxa"/>
              <w:right w:w="0" w:type="dxa"/>
            </w:tcMar>
            <w:vAlign w:val="bottom"/>
            <w:hideMark/>
          </w:tcPr>
          <w:p w14:paraId="010CDD29" w14:textId="77777777" w:rsidR="00D246A9" w:rsidRDefault="00D246A9" w:rsidP="00D87FF2">
            <w:pPr>
              <w:pStyle w:val="NormalWeb"/>
              <w:tabs>
                <w:tab w:val="right" w:pos="980"/>
                <w:tab w:val="decimal" w:pos="1020"/>
              </w:tabs>
              <w:spacing w:before="0" w:beforeAutospacing="0" w:after="0" w:afterAutospacing="0"/>
              <w:rPr>
                <w:rFonts w:ascii="Arial" w:hAnsi="Arial" w:cs="Arial"/>
                <w:sz w:val="16"/>
                <w:szCs w:val="16"/>
              </w:rPr>
            </w:pPr>
            <w:r>
              <w:rPr>
                <w:rFonts w:ascii="Arial" w:hAnsi="Arial" w:cs="Arial"/>
                <w:sz w:val="16"/>
                <w:szCs w:val="16"/>
              </w:rPr>
              <w:tab/>
              <w:t>61,271</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658D1155"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170.54</w:t>
            </w:r>
            <w:r>
              <w:rPr>
                <w:rFonts w:ascii="Arial" w:hAnsi="Arial" w:cs="Arial"/>
                <w:sz w:val="16"/>
                <w:szCs w:val="16"/>
              </w:rPr>
              <w:tab/>
            </w:r>
          </w:p>
        </w:tc>
      </w:tr>
    </w:tbl>
    <w:p w14:paraId="554B6A53"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proofErr w:type="gramStart"/>
      <w:r>
        <w:rPr>
          <w:rFonts w:ascii="Arial" w:hAnsi="Arial" w:cs="Arial"/>
          <w:sz w:val="14"/>
          <w:szCs w:val="14"/>
        </w:rPr>
        <w:t xml:space="preserve">)  </w:t>
      </w:r>
      <w:r>
        <w:rPr>
          <w:rFonts w:ascii="Arial" w:hAnsi="Arial" w:cs="Arial"/>
          <w:sz w:val="14"/>
          <w:szCs w:val="14"/>
        </w:rPr>
        <w:tab/>
      </w:r>
      <w:proofErr w:type="gramEnd"/>
      <w:r>
        <w:rPr>
          <w:rFonts w:ascii="Arial" w:hAnsi="Arial" w:cs="Arial"/>
          <w:sz w:val="14"/>
          <w:szCs w:val="14"/>
        </w:rPr>
        <w:t xml:space="preserve">The Non-PEO Named Executives for each of fiscal years 2023 and 2022 were: Amy E. Hood, Judson B. Althoff, Bradford L. Smith, and Christopher D. Young. The Non-PEO Named Executives for fiscal year 2021 were: Amy E. Hood, Jean-Philippe Courtois, Bradford L. Smith, and Christopher D. Young. </w:t>
      </w:r>
    </w:p>
    <w:p w14:paraId="493ADB47"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dollar amounts reported represent the amount of “compensation actually paid,” as calculated in accordance with the Pay Versus Performance Rules. These dollar amounts do not reflect the actual amounts of compensation earned by or paid to our Named Executives during the applicable year. For purposes of calculating “compensation actually paid,” the fair value of equity awards is calculated in accordance with FASB ASC Topic 718 using the same assumption methodologies used to calculate the grant date fair value of awards for purposes of the Summary Compensation Table (refer to “Named Executive Officer Compensation – Fiscal Year 2023 Compensation Tables – Summary Compensation Table” for additional information). </w:t>
      </w:r>
    </w:p>
    <w:p w14:paraId="71FB068F"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In accordance with the Pay Versus Performance Rules, Microsoft and Peer Group total shareholder return (“TSR”) is determined based on the value of an initial fixed investment through the end of the listed fiscal year. The Peer Group TSR set forth in this table was determined using the Nasdaq Computer Index, which we also use in preparing the stock performance graph required by Item 201(e) of Regulation S-K for our Annual Report for the fiscal year ended June 30, 2023. </w:t>
      </w:r>
    </w:p>
    <w:p w14:paraId="46379F00"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We have determined that Microsoft Incentive Plan Revenue (as defined on page 43) is the financial performance measure that, in the Company’s assessment, represents the most important financial performance measure used to link “compensation actually paid” to our Named Executives, for fiscal year 2023, to company performance (the “Company Selected Measure” as defined in the Pay Versus Performance Rules). </w:t>
      </w:r>
    </w:p>
    <w:p w14:paraId="5EDB910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following table shows the amounts deducted from and added to the Summary Compensation Table total compensation to calculate the “compensation actually paid” to our PEO and Non-PEO Named Executives in accordance with the Pay Versus Performance Rules. </w:t>
      </w:r>
    </w:p>
    <w:p w14:paraId="28568A36"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256"/>
        <w:gridCol w:w="1224"/>
        <w:gridCol w:w="1264"/>
        <w:gridCol w:w="1224"/>
        <w:gridCol w:w="1264"/>
        <w:gridCol w:w="1224"/>
        <w:gridCol w:w="1344"/>
      </w:tblGrid>
      <w:tr w:rsidR="00940E2F" w14:paraId="65B1FB0F" w14:textId="77777777" w:rsidTr="00FE0A0A">
        <w:trPr>
          <w:cantSplit/>
          <w:tblHeader/>
        </w:trPr>
        <w:tc>
          <w:tcPr>
            <w:tcW w:w="3256" w:type="dxa"/>
            <w:vMerge w:val="restart"/>
            <w:tcMar>
              <w:top w:w="0" w:type="dxa"/>
              <w:left w:w="144" w:type="dxa"/>
              <w:bottom w:w="0" w:type="dxa"/>
              <w:right w:w="0" w:type="dxa"/>
            </w:tcMar>
            <w:vAlign w:val="bottom"/>
            <w:hideMark/>
          </w:tcPr>
          <w:p w14:paraId="5CDFD4FE" w14:textId="659CD488" w:rsidR="00940E2F" w:rsidRPr="00306F7C" w:rsidRDefault="00940E2F">
            <w:pPr>
              <w:pStyle w:val="la2"/>
              <w:keepNext/>
              <w:rPr>
                <w:rFonts w:ascii="Arial" w:hAnsi="Arial" w:cs="Arial"/>
                <w:sz w:val="16"/>
                <w:szCs w:val="16"/>
              </w:rPr>
            </w:pPr>
            <w:r w:rsidRPr="00940E2F">
              <w:rPr>
                <w:rFonts w:ascii="Arial" w:hAnsi="Arial" w:cs="Arial"/>
                <w:color w:val="FFFFFF" w:themeColor="background1"/>
                <w:sz w:val="16"/>
                <w:szCs w:val="16"/>
              </w:rPr>
              <w:t>NA</w:t>
            </w:r>
          </w:p>
        </w:tc>
        <w:tc>
          <w:tcPr>
            <w:tcW w:w="2488" w:type="dxa"/>
            <w:gridSpan w:val="2"/>
            <w:tcMar>
              <w:top w:w="0" w:type="dxa"/>
              <w:left w:w="144" w:type="dxa"/>
              <w:bottom w:w="0" w:type="dxa"/>
              <w:right w:w="0" w:type="dxa"/>
            </w:tcMar>
            <w:vAlign w:val="bottom"/>
            <w:hideMark/>
          </w:tcPr>
          <w:p w14:paraId="11FAFE9A" w14:textId="77777777" w:rsidR="00940E2F" w:rsidRDefault="00940E2F">
            <w:pPr>
              <w:jc w:val="center"/>
              <w:rPr>
                <w:rFonts w:ascii="Arial" w:hAnsi="Arial" w:cs="Arial"/>
                <w:sz w:val="16"/>
                <w:szCs w:val="16"/>
              </w:rPr>
            </w:pPr>
            <w:r>
              <w:rPr>
                <w:rFonts w:ascii="Arial" w:hAnsi="Arial" w:cs="Arial"/>
                <w:b/>
                <w:bCs/>
                <w:sz w:val="16"/>
                <w:szCs w:val="16"/>
              </w:rPr>
              <w:t>2023</w:t>
            </w:r>
            <w:r>
              <w:rPr>
                <w:rFonts w:ascii="Arial" w:hAnsi="Arial" w:cs="Arial"/>
                <w:sz w:val="16"/>
                <w:szCs w:val="16"/>
              </w:rPr>
              <w:t xml:space="preserve"> </w:t>
            </w:r>
          </w:p>
          <w:p w14:paraId="650603C1" w14:textId="77777777" w:rsidR="00940E2F" w:rsidRPr="00306F7C" w:rsidRDefault="00940E2F">
            <w:pPr>
              <w:pStyle w:val="rrdsinglerule"/>
              <w:spacing w:before="0"/>
              <w:rPr>
                <w:rFonts w:ascii="Arial" w:hAnsi="Arial" w:cs="Arial"/>
                <w:sz w:val="16"/>
                <w:szCs w:val="16"/>
              </w:rPr>
            </w:pPr>
            <w:r>
              <w:rPr>
                <w:rFonts w:ascii="Arial" w:hAnsi="Arial" w:cs="Arial"/>
                <w:sz w:val="16"/>
                <w:szCs w:val="16"/>
              </w:rPr>
              <w:t> </w:t>
            </w:r>
          </w:p>
        </w:tc>
        <w:tc>
          <w:tcPr>
            <w:tcW w:w="2488" w:type="dxa"/>
            <w:gridSpan w:val="2"/>
            <w:tcMar>
              <w:top w:w="0" w:type="dxa"/>
              <w:left w:w="144" w:type="dxa"/>
              <w:bottom w:w="0" w:type="dxa"/>
              <w:right w:w="0" w:type="dxa"/>
            </w:tcMar>
            <w:vAlign w:val="bottom"/>
            <w:hideMark/>
          </w:tcPr>
          <w:p w14:paraId="32CAEA97" w14:textId="77777777" w:rsidR="00940E2F" w:rsidRDefault="00940E2F">
            <w:pPr>
              <w:jc w:val="center"/>
              <w:rPr>
                <w:rFonts w:ascii="Arial" w:hAnsi="Arial" w:cs="Arial"/>
                <w:sz w:val="16"/>
                <w:szCs w:val="16"/>
              </w:rPr>
            </w:pPr>
            <w:r>
              <w:rPr>
                <w:rFonts w:ascii="Arial" w:hAnsi="Arial" w:cs="Arial"/>
                <w:b/>
                <w:bCs/>
                <w:sz w:val="16"/>
                <w:szCs w:val="16"/>
              </w:rPr>
              <w:t>2022</w:t>
            </w:r>
            <w:r>
              <w:rPr>
                <w:rFonts w:ascii="Arial" w:hAnsi="Arial" w:cs="Arial"/>
                <w:sz w:val="16"/>
                <w:szCs w:val="16"/>
              </w:rPr>
              <w:t xml:space="preserve"> </w:t>
            </w:r>
          </w:p>
          <w:p w14:paraId="2D9676C7" w14:textId="77777777" w:rsidR="00940E2F" w:rsidRPr="00306F7C" w:rsidRDefault="00940E2F">
            <w:pPr>
              <w:pStyle w:val="rrdsinglerule"/>
              <w:spacing w:before="0"/>
              <w:rPr>
                <w:rFonts w:ascii="Arial" w:hAnsi="Arial" w:cs="Arial"/>
                <w:sz w:val="16"/>
                <w:szCs w:val="16"/>
              </w:rPr>
            </w:pPr>
            <w:r>
              <w:rPr>
                <w:rFonts w:ascii="Arial" w:hAnsi="Arial" w:cs="Arial"/>
                <w:sz w:val="16"/>
                <w:szCs w:val="16"/>
              </w:rPr>
              <w:t> </w:t>
            </w:r>
          </w:p>
        </w:tc>
        <w:tc>
          <w:tcPr>
            <w:tcW w:w="2568" w:type="dxa"/>
            <w:gridSpan w:val="2"/>
            <w:tcMar>
              <w:top w:w="0" w:type="dxa"/>
              <w:left w:w="144" w:type="dxa"/>
              <w:bottom w:w="0" w:type="dxa"/>
              <w:right w:w="0" w:type="dxa"/>
            </w:tcMar>
            <w:vAlign w:val="bottom"/>
            <w:hideMark/>
          </w:tcPr>
          <w:p w14:paraId="0057748F" w14:textId="77777777" w:rsidR="00940E2F" w:rsidRDefault="00940E2F">
            <w:pPr>
              <w:jc w:val="center"/>
              <w:rPr>
                <w:rFonts w:ascii="Arial" w:hAnsi="Arial" w:cs="Arial"/>
                <w:sz w:val="16"/>
                <w:szCs w:val="16"/>
              </w:rPr>
            </w:pPr>
            <w:r>
              <w:rPr>
                <w:rFonts w:ascii="Arial" w:hAnsi="Arial" w:cs="Arial"/>
                <w:b/>
                <w:bCs/>
                <w:sz w:val="16"/>
                <w:szCs w:val="16"/>
              </w:rPr>
              <w:t>2021</w:t>
            </w:r>
            <w:r>
              <w:rPr>
                <w:rFonts w:ascii="Arial" w:hAnsi="Arial" w:cs="Arial"/>
                <w:sz w:val="16"/>
                <w:szCs w:val="16"/>
              </w:rPr>
              <w:t xml:space="preserve"> </w:t>
            </w:r>
          </w:p>
          <w:p w14:paraId="361F3145" w14:textId="77777777" w:rsidR="00940E2F" w:rsidRPr="00306F7C" w:rsidRDefault="00940E2F">
            <w:pPr>
              <w:pStyle w:val="rrdsinglerule"/>
              <w:spacing w:before="0"/>
              <w:rPr>
                <w:rFonts w:ascii="Arial" w:hAnsi="Arial" w:cs="Arial"/>
                <w:sz w:val="16"/>
                <w:szCs w:val="16"/>
              </w:rPr>
            </w:pPr>
            <w:r>
              <w:rPr>
                <w:rFonts w:ascii="Arial" w:hAnsi="Arial" w:cs="Arial"/>
                <w:sz w:val="16"/>
                <w:szCs w:val="16"/>
              </w:rPr>
              <w:t> </w:t>
            </w:r>
          </w:p>
        </w:tc>
      </w:tr>
      <w:tr w:rsidR="00940E2F" w14:paraId="2C1BC9A1" w14:textId="77777777" w:rsidTr="00FE0A0A">
        <w:trPr>
          <w:cantSplit/>
          <w:tblHeader/>
        </w:trPr>
        <w:tc>
          <w:tcPr>
            <w:tcW w:w="3256" w:type="dxa"/>
            <w:vMerge/>
            <w:tcBorders>
              <w:bottom w:val="single" w:sz="8" w:space="0" w:color="000000"/>
            </w:tcBorders>
            <w:tcMar>
              <w:top w:w="0" w:type="dxa"/>
              <w:left w:w="0" w:type="dxa"/>
              <w:bottom w:w="40" w:type="dxa"/>
              <w:right w:w="0" w:type="dxa"/>
            </w:tcMar>
            <w:vAlign w:val="bottom"/>
            <w:hideMark/>
          </w:tcPr>
          <w:p w14:paraId="77F95240" w14:textId="77777777" w:rsidR="00940E2F" w:rsidRDefault="00940E2F">
            <w:pPr>
              <w:rPr>
                <w:rFonts w:ascii="Arial" w:hAnsi="Arial" w:cs="Arial"/>
                <w:sz w:val="16"/>
                <w:szCs w:val="16"/>
              </w:rPr>
            </w:pPr>
          </w:p>
        </w:tc>
        <w:tc>
          <w:tcPr>
            <w:tcW w:w="1224" w:type="dxa"/>
            <w:tcBorders>
              <w:bottom w:val="single" w:sz="8" w:space="0" w:color="000000"/>
            </w:tcBorders>
            <w:tcMar>
              <w:top w:w="0" w:type="dxa"/>
              <w:left w:w="144" w:type="dxa"/>
              <w:bottom w:w="0" w:type="dxa"/>
              <w:right w:w="0" w:type="dxa"/>
            </w:tcMar>
            <w:vAlign w:val="bottom"/>
            <w:hideMark/>
          </w:tcPr>
          <w:p w14:paraId="32D55F5B" w14:textId="77777777" w:rsidR="00940E2F" w:rsidRPr="00306F7C" w:rsidRDefault="00940E2F">
            <w:pPr>
              <w:pStyle w:val="NormalWeb"/>
              <w:spacing w:before="0" w:beforeAutospacing="0" w:after="0" w:afterAutospacing="0"/>
              <w:jc w:val="right"/>
              <w:rPr>
                <w:rFonts w:ascii="Arial" w:hAnsi="Arial" w:cs="Arial"/>
                <w:sz w:val="16"/>
                <w:szCs w:val="16"/>
              </w:rPr>
            </w:pPr>
            <w:r>
              <w:rPr>
                <w:rFonts w:ascii="Arial" w:hAnsi="Arial" w:cs="Arial"/>
                <w:b/>
                <w:bCs/>
                <w:sz w:val="16"/>
                <w:szCs w:val="16"/>
              </w:rPr>
              <w:t>PEO</w:t>
            </w:r>
          </w:p>
          <w:p w14:paraId="3EB7F482" w14:textId="77777777" w:rsidR="00940E2F" w:rsidRDefault="00940E2F">
            <w:pPr>
              <w:pStyle w:val="NormalWeb"/>
              <w:spacing w:before="0" w:beforeAutospacing="0" w:after="20" w:afterAutospacing="0"/>
              <w:jc w:val="right"/>
              <w:rPr>
                <w:rFonts w:ascii="Arial" w:hAnsi="Arial" w:cs="Arial"/>
                <w:sz w:val="16"/>
                <w:szCs w:val="16"/>
              </w:rPr>
            </w:pPr>
            <w:r>
              <w:rPr>
                <w:rFonts w:ascii="Arial" w:hAnsi="Arial" w:cs="Arial"/>
                <w:b/>
                <w:bCs/>
                <w:sz w:val="16"/>
                <w:szCs w:val="16"/>
              </w:rPr>
              <w:t>($)</w:t>
            </w:r>
          </w:p>
        </w:tc>
        <w:tc>
          <w:tcPr>
            <w:tcW w:w="1264" w:type="dxa"/>
            <w:tcBorders>
              <w:bottom w:val="single" w:sz="8" w:space="0" w:color="000000"/>
            </w:tcBorders>
            <w:tcMar>
              <w:top w:w="0" w:type="dxa"/>
              <w:left w:w="144" w:type="dxa"/>
              <w:bottom w:w="0" w:type="dxa"/>
              <w:right w:w="0" w:type="dxa"/>
            </w:tcMar>
            <w:vAlign w:val="bottom"/>
            <w:hideMark/>
          </w:tcPr>
          <w:p w14:paraId="322BFFE3" w14:textId="77777777" w:rsidR="00940E2F" w:rsidRDefault="00940E2F">
            <w:pPr>
              <w:pStyle w:val="NormalWeb"/>
              <w:spacing w:before="0" w:beforeAutospacing="0" w:after="0" w:afterAutospacing="0"/>
              <w:jc w:val="right"/>
              <w:rPr>
                <w:rFonts w:ascii="Arial" w:hAnsi="Arial" w:cs="Arial"/>
                <w:sz w:val="16"/>
                <w:szCs w:val="16"/>
              </w:rPr>
            </w:pPr>
            <w:r>
              <w:rPr>
                <w:rFonts w:ascii="Arial" w:hAnsi="Arial" w:cs="Arial"/>
                <w:b/>
                <w:bCs/>
                <w:sz w:val="16"/>
                <w:szCs w:val="16"/>
              </w:rPr>
              <w:t>Average for</w:t>
            </w:r>
            <w:r>
              <w:rPr>
                <w:rFonts w:ascii="Arial" w:hAnsi="Arial" w:cs="Arial"/>
                <w:b/>
                <w:bCs/>
                <w:sz w:val="16"/>
                <w:szCs w:val="16"/>
              </w:rPr>
              <w:br/>
              <w:t>Non-PEO</w:t>
            </w:r>
            <w:r>
              <w:rPr>
                <w:rFonts w:ascii="Arial" w:hAnsi="Arial" w:cs="Arial"/>
                <w:b/>
                <w:bCs/>
                <w:sz w:val="16"/>
                <w:szCs w:val="16"/>
              </w:rPr>
              <w:br/>
              <w:t>NEO</w:t>
            </w:r>
          </w:p>
          <w:p w14:paraId="5D046714" w14:textId="77777777" w:rsidR="00940E2F" w:rsidRDefault="00940E2F">
            <w:pPr>
              <w:pStyle w:val="NormalWeb"/>
              <w:spacing w:before="0" w:beforeAutospacing="0" w:after="20" w:afterAutospacing="0"/>
              <w:jc w:val="right"/>
              <w:rPr>
                <w:rFonts w:ascii="Arial" w:hAnsi="Arial" w:cs="Arial"/>
                <w:sz w:val="16"/>
                <w:szCs w:val="16"/>
              </w:rPr>
            </w:pPr>
            <w:r>
              <w:rPr>
                <w:rFonts w:ascii="Arial" w:hAnsi="Arial" w:cs="Arial"/>
                <w:b/>
                <w:bCs/>
                <w:sz w:val="16"/>
                <w:szCs w:val="16"/>
              </w:rPr>
              <w:t>($)</w:t>
            </w:r>
          </w:p>
        </w:tc>
        <w:tc>
          <w:tcPr>
            <w:tcW w:w="1224" w:type="dxa"/>
            <w:tcBorders>
              <w:bottom w:val="single" w:sz="8" w:space="0" w:color="000000"/>
            </w:tcBorders>
            <w:tcMar>
              <w:top w:w="0" w:type="dxa"/>
              <w:left w:w="144" w:type="dxa"/>
              <w:bottom w:w="0" w:type="dxa"/>
              <w:right w:w="0" w:type="dxa"/>
            </w:tcMar>
            <w:vAlign w:val="bottom"/>
            <w:hideMark/>
          </w:tcPr>
          <w:p w14:paraId="0CF34C46" w14:textId="77777777" w:rsidR="00940E2F" w:rsidRDefault="00940E2F">
            <w:pPr>
              <w:pStyle w:val="NormalWeb"/>
              <w:spacing w:before="0" w:beforeAutospacing="0" w:after="0" w:afterAutospacing="0"/>
              <w:jc w:val="right"/>
              <w:rPr>
                <w:rFonts w:ascii="Arial" w:hAnsi="Arial" w:cs="Arial"/>
                <w:sz w:val="16"/>
                <w:szCs w:val="16"/>
              </w:rPr>
            </w:pPr>
            <w:r>
              <w:rPr>
                <w:rFonts w:ascii="Arial" w:hAnsi="Arial" w:cs="Arial"/>
                <w:b/>
                <w:bCs/>
                <w:sz w:val="16"/>
                <w:szCs w:val="16"/>
              </w:rPr>
              <w:t>PEO</w:t>
            </w:r>
          </w:p>
          <w:p w14:paraId="6CC1E362" w14:textId="77777777" w:rsidR="00940E2F" w:rsidRDefault="00940E2F">
            <w:pPr>
              <w:pStyle w:val="NormalWeb"/>
              <w:spacing w:before="0" w:beforeAutospacing="0" w:after="20" w:afterAutospacing="0"/>
              <w:jc w:val="right"/>
              <w:rPr>
                <w:rFonts w:ascii="Arial" w:hAnsi="Arial" w:cs="Arial"/>
                <w:sz w:val="16"/>
                <w:szCs w:val="16"/>
              </w:rPr>
            </w:pPr>
            <w:r>
              <w:rPr>
                <w:rFonts w:ascii="Arial" w:hAnsi="Arial" w:cs="Arial"/>
                <w:b/>
                <w:bCs/>
                <w:sz w:val="16"/>
                <w:szCs w:val="16"/>
              </w:rPr>
              <w:t>($)</w:t>
            </w:r>
          </w:p>
        </w:tc>
        <w:tc>
          <w:tcPr>
            <w:tcW w:w="1264" w:type="dxa"/>
            <w:tcBorders>
              <w:bottom w:val="single" w:sz="8" w:space="0" w:color="000000"/>
            </w:tcBorders>
            <w:tcMar>
              <w:top w:w="0" w:type="dxa"/>
              <w:left w:w="144" w:type="dxa"/>
              <w:bottom w:w="0" w:type="dxa"/>
              <w:right w:w="0" w:type="dxa"/>
            </w:tcMar>
            <w:vAlign w:val="bottom"/>
            <w:hideMark/>
          </w:tcPr>
          <w:p w14:paraId="653D0B27" w14:textId="77777777" w:rsidR="00940E2F" w:rsidRDefault="00940E2F">
            <w:pPr>
              <w:pStyle w:val="NormalWeb"/>
              <w:spacing w:before="0" w:beforeAutospacing="0" w:after="0" w:afterAutospacing="0"/>
              <w:jc w:val="right"/>
              <w:rPr>
                <w:rFonts w:ascii="Arial" w:hAnsi="Arial" w:cs="Arial"/>
                <w:sz w:val="16"/>
                <w:szCs w:val="16"/>
              </w:rPr>
            </w:pPr>
            <w:r>
              <w:rPr>
                <w:rFonts w:ascii="Arial" w:hAnsi="Arial" w:cs="Arial"/>
                <w:b/>
                <w:bCs/>
                <w:sz w:val="16"/>
                <w:szCs w:val="16"/>
              </w:rPr>
              <w:t>Average for</w:t>
            </w:r>
            <w:r>
              <w:rPr>
                <w:rFonts w:ascii="Arial" w:hAnsi="Arial" w:cs="Arial"/>
                <w:b/>
                <w:bCs/>
                <w:sz w:val="16"/>
                <w:szCs w:val="16"/>
              </w:rPr>
              <w:br/>
              <w:t>Non-PEO</w:t>
            </w:r>
            <w:r>
              <w:rPr>
                <w:rFonts w:ascii="Arial" w:hAnsi="Arial" w:cs="Arial"/>
                <w:b/>
                <w:bCs/>
                <w:sz w:val="16"/>
                <w:szCs w:val="16"/>
              </w:rPr>
              <w:br/>
              <w:t>NEO</w:t>
            </w:r>
          </w:p>
          <w:p w14:paraId="71E1CE60" w14:textId="77777777" w:rsidR="00940E2F" w:rsidRDefault="00940E2F">
            <w:pPr>
              <w:pStyle w:val="NormalWeb"/>
              <w:spacing w:before="0" w:beforeAutospacing="0" w:after="20" w:afterAutospacing="0"/>
              <w:jc w:val="right"/>
              <w:rPr>
                <w:rFonts w:ascii="Arial" w:hAnsi="Arial" w:cs="Arial"/>
                <w:sz w:val="16"/>
                <w:szCs w:val="16"/>
              </w:rPr>
            </w:pPr>
            <w:r>
              <w:rPr>
                <w:rFonts w:ascii="Arial" w:hAnsi="Arial" w:cs="Arial"/>
                <w:b/>
                <w:bCs/>
                <w:sz w:val="16"/>
                <w:szCs w:val="16"/>
              </w:rPr>
              <w:t>($)</w:t>
            </w:r>
          </w:p>
        </w:tc>
        <w:tc>
          <w:tcPr>
            <w:tcW w:w="1224" w:type="dxa"/>
            <w:tcBorders>
              <w:bottom w:val="single" w:sz="8" w:space="0" w:color="000000"/>
            </w:tcBorders>
            <w:tcMar>
              <w:top w:w="0" w:type="dxa"/>
              <w:left w:w="144" w:type="dxa"/>
              <w:bottom w:w="0" w:type="dxa"/>
              <w:right w:w="0" w:type="dxa"/>
            </w:tcMar>
            <w:vAlign w:val="bottom"/>
            <w:hideMark/>
          </w:tcPr>
          <w:p w14:paraId="7EB738B3" w14:textId="77777777" w:rsidR="00940E2F" w:rsidRDefault="00940E2F">
            <w:pPr>
              <w:pStyle w:val="NormalWeb"/>
              <w:spacing w:before="0" w:beforeAutospacing="0" w:after="0" w:afterAutospacing="0"/>
              <w:jc w:val="right"/>
              <w:rPr>
                <w:rFonts w:ascii="Arial" w:hAnsi="Arial" w:cs="Arial"/>
                <w:sz w:val="16"/>
                <w:szCs w:val="16"/>
              </w:rPr>
            </w:pPr>
            <w:r>
              <w:rPr>
                <w:rFonts w:ascii="Arial" w:hAnsi="Arial" w:cs="Arial"/>
                <w:b/>
                <w:bCs/>
                <w:sz w:val="16"/>
                <w:szCs w:val="16"/>
              </w:rPr>
              <w:t>PEO</w:t>
            </w:r>
          </w:p>
          <w:p w14:paraId="560726BC" w14:textId="77777777" w:rsidR="00940E2F" w:rsidRDefault="00940E2F">
            <w:pPr>
              <w:pStyle w:val="NormalWeb"/>
              <w:spacing w:before="0" w:beforeAutospacing="0" w:after="20" w:afterAutospacing="0"/>
              <w:jc w:val="right"/>
              <w:rPr>
                <w:rFonts w:ascii="Arial" w:hAnsi="Arial" w:cs="Arial"/>
                <w:sz w:val="16"/>
                <w:szCs w:val="16"/>
              </w:rPr>
            </w:pPr>
            <w:r>
              <w:rPr>
                <w:rFonts w:ascii="Arial" w:hAnsi="Arial" w:cs="Arial"/>
                <w:b/>
                <w:bCs/>
                <w:sz w:val="16"/>
                <w:szCs w:val="16"/>
              </w:rPr>
              <w:t>($)</w:t>
            </w:r>
          </w:p>
        </w:tc>
        <w:tc>
          <w:tcPr>
            <w:tcW w:w="1344" w:type="dxa"/>
            <w:tcBorders>
              <w:bottom w:val="single" w:sz="8" w:space="0" w:color="000000"/>
            </w:tcBorders>
            <w:tcMar>
              <w:top w:w="0" w:type="dxa"/>
              <w:left w:w="144" w:type="dxa"/>
              <w:bottom w:w="0" w:type="dxa"/>
              <w:right w:w="0" w:type="dxa"/>
            </w:tcMar>
            <w:vAlign w:val="bottom"/>
            <w:hideMark/>
          </w:tcPr>
          <w:p w14:paraId="6B65CFF0" w14:textId="77777777" w:rsidR="00940E2F" w:rsidRDefault="00940E2F">
            <w:pPr>
              <w:pStyle w:val="NormalWeb"/>
              <w:spacing w:before="0" w:beforeAutospacing="0" w:after="0" w:afterAutospacing="0"/>
              <w:jc w:val="right"/>
              <w:rPr>
                <w:rFonts w:ascii="Arial" w:hAnsi="Arial" w:cs="Arial"/>
                <w:sz w:val="16"/>
                <w:szCs w:val="16"/>
              </w:rPr>
            </w:pPr>
            <w:r>
              <w:rPr>
                <w:rFonts w:ascii="Arial" w:hAnsi="Arial" w:cs="Arial"/>
                <w:b/>
                <w:bCs/>
                <w:sz w:val="16"/>
                <w:szCs w:val="16"/>
              </w:rPr>
              <w:t>Average for</w:t>
            </w:r>
            <w:r>
              <w:rPr>
                <w:rFonts w:ascii="Arial" w:hAnsi="Arial" w:cs="Arial"/>
                <w:b/>
                <w:bCs/>
                <w:sz w:val="16"/>
                <w:szCs w:val="16"/>
              </w:rPr>
              <w:br/>
              <w:t>Non-PEO</w:t>
            </w:r>
            <w:r>
              <w:rPr>
                <w:rFonts w:ascii="Arial" w:hAnsi="Arial" w:cs="Arial"/>
                <w:b/>
                <w:bCs/>
                <w:sz w:val="16"/>
                <w:szCs w:val="16"/>
              </w:rPr>
              <w:br/>
              <w:t>NEO</w:t>
            </w:r>
          </w:p>
          <w:p w14:paraId="3BE71BA1" w14:textId="77777777" w:rsidR="00940E2F" w:rsidRDefault="00940E2F">
            <w:pPr>
              <w:pStyle w:val="NormalWeb"/>
              <w:spacing w:before="0" w:beforeAutospacing="0" w:after="20" w:afterAutospacing="0"/>
              <w:jc w:val="right"/>
              <w:rPr>
                <w:rFonts w:ascii="Arial" w:hAnsi="Arial" w:cs="Arial"/>
                <w:sz w:val="16"/>
                <w:szCs w:val="16"/>
              </w:rPr>
            </w:pPr>
            <w:r>
              <w:rPr>
                <w:rFonts w:ascii="Arial" w:hAnsi="Arial" w:cs="Arial"/>
                <w:b/>
                <w:bCs/>
                <w:sz w:val="16"/>
                <w:szCs w:val="16"/>
              </w:rPr>
              <w:t>($)</w:t>
            </w:r>
          </w:p>
        </w:tc>
      </w:tr>
      <w:tr w:rsidR="00D246A9" w14:paraId="7DA48833" w14:textId="77777777" w:rsidTr="00FE0A0A">
        <w:trPr>
          <w:cantSplit/>
        </w:trPr>
        <w:tc>
          <w:tcPr>
            <w:tcW w:w="3256" w:type="dxa"/>
            <w:tcBorders>
              <w:bottom w:val="single" w:sz="6" w:space="0" w:color="0075C9"/>
            </w:tcBorders>
            <w:tcMar>
              <w:top w:w="0" w:type="dxa"/>
              <w:left w:w="0" w:type="dxa"/>
              <w:bottom w:w="40" w:type="dxa"/>
              <w:right w:w="0" w:type="dxa"/>
            </w:tcMar>
            <w:hideMark/>
          </w:tcPr>
          <w:p w14:paraId="2044CB99" w14:textId="77777777" w:rsidR="00D246A9" w:rsidRPr="00306F7C" w:rsidRDefault="00D246A9">
            <w:pPr>
              <w:pStyle w:val="NormalWeb"/>
              <w:keepNext/>
              <w:spacing w:before="0" w:beforeAutospacing="0" w:after="0" w:afterAutospacing="0"/>
              <w:ind w:left="120"/>
              <w:rPr>
                <w:rFonts w:ascii="Arial" w:hAnsi="Arial" w:cs="Arial"/>
                <w:sz w:val="16"/>
                <w:szCs w:val="16"/>
              </w:rPr>
            </w:pPr>
            <w:r>
              <w:rPr>
                <w:rFonts w:ascii="Arial" w:hAnsi="Arial" w:cs="Arial"/>
                <w:sz w:val="16"/>
                <w:szCs w:val="16"/>
              </w:rPr>
              <w:t>Summary Compensation Table (“SCT”) Total</w:t>
            </w:r>
          </w:p>
        </w:tc>
        <w:tc>
          <w:tcPr>
            <w:tcW w:w="1224" w:type="dxa"/>
            <w:tcBorders>
              <w:bottom w:val="single" w:sz="6" w:space="0" w:color="0075C9"/>
            </w:tcBorders>
            <w:noWrap/>
            <w:tcMar>
              <w:top w:w="0" w:type="dxa"/>
              <w:left w:w="144" w:type="dxa"/>
              <w:bottom w:w="0" w:type="dxa"/>
              <w:right w:w="0" w:type="dxa"/>
            </w:tcMar>
            <w:vAlign w:val="bottom"/>
            <w:hideMark/>
          </w:tcPr>
          <w:p w14:paraId="0A43769D"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48,512,537</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592A2A31"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16,009,805</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41A18CBE"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54,946,310</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6DA120EC"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20,074,444</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5978FE03"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49,858,280</w:t>
            </w:r>
            <w:r>
              <w:rPr>
                <w:rFonts w:ascii="Arial" w:hAnsi="Arial" w:cs="Arial"/>
                <w:sz w:val="16"/>
                <w:szCs w:val="16"/>
              </w:rPr>
              <w:tab/>
            </w:r>
          </w:p>
        </w:tc>
        <w:tc>
          <w:tcPr>
            <w:tcW w:w="1344" w:type="dxa"/>
            <w:tcBorders>
              <w:bottom w:val="single" w:sz="6" w:space="0" w:color="0075C9"/>
            </w:tcBorders>
            <w:noWrap/>
            <w:tcMar>
              <w:top w:w="0" w:type="dxa"/>
              <w:left w:w="144" w:type="dxa"/>
              <w:bottom w:w="0" w:type="dxa"/>
              <w:right w:w="0" w:type="dxa"/>
            </w:tcMar>
            <w:vAlign w:val="bottom"/>
            <w:hideMark/>
          </w:tcPr>
          <w:p w14:paraId="11B591BC" w14:textId="77777777" w:rsidR="00D246A9" w:rsidRDefault="00D246A9">
            <w:pPr>
              <w:pStyle w:val="NormalWeb"/>
              <w:tabs>
                <w:tab w:val="right" w:pos="1160"/>
                <w:tab w:val="decimal" w:pos="1200"/>
              </w:tabs>
              <w:spacing w:before="0" w:beforeAutospacing="0" w:after="20" w:afterAutospacing="0"/>
              <w:rPr>
                <w:rFonts w:ascii="Arial" w:hAnsi="Arial" w:cs="Arial"/>
                <w:sz w:val="16"/>
                <w:szCs w:val="16"/>
              </w:rPr>
            </w:pPr>
            <w:r>
              <w:rPr>
                <w:rFonts w:ascii="Arial" w:hAnsi="Arial" w:cs="Arial"/>
                <w:sz w:val="16"/>
                <w:szCs w:val="16"/>
              </w:rPr>
              <w:tab/>
              <w:t>22,306,746</w:t>
            </w:r>
            <w:r>
              <w:rPr>
                <w:rFonts w:ascii="Arial" w:hAnsi="Arial" w:cs="Arial"/>
                <w:sz w:val="16"/>
                <w:szCs w:val="16"/>
              </w:rPr>
              <w:tab/>
            </w:r>
          </w:p>
        </w:tc>
      </w:tr>
      <w:tr w:rsidR="00D246A9" w14:paraId="717842E9" w14:textId="77777777" w:rsidTr="00FE0A0A">
        <w:trPr>
          <w:cantSplit/>
        </w:trPr>
        <w:tc>
          <w:tcPr>
            <w:tcW w:w="3256" w:type="dxa"/>
            <w:tcBorders>
              <w:bottom w:val="single" w:sz="6" w:space="0" w:color="0075C9"/>
            </w:tcBorders>
            <w:tcMar>
              <w:top w:w="0" w:type="dxa"/>
              <w:left w:w="0" w:type="dxa"/>
              <w:bottom w:w="40" w:type="dxa"/>
              <w:right w:w="0" w:type="dxa"/>
            </w:tcMar>
            <w:hideMark/>
          </w:tcPr>
          <w:p w14:paraId="31BE955B" w14:textId="77777777" w:rsidR="00D246A9" w:rsidRPr="00306F7C" w:rsidRDefault="00D246A9">
            <w:pPr>
              <w:pStyle w:val="NormalWeb"/>
              <w:keepNext/>
              <w:spacing w:before="0" w:beforeAutospacing="0" w:after="0" w:afterAutospacing="0"/>
              <w:ind w:left="120"/>
              <w:rPr>
                <w:rFonts w:ascii="Arial" w:hAnsi="Arial" w:cs="Arial"/>
                <w:sz w:val="16"/>
                <w:szCs w:val="16"/>
              </w:rPr>
            </w:pPr>
            <w:r>
              <w:rPr>
                <w:rFonts w:ascii="Arial" w:hAnsi="Arial" w:cs="Arial"/>
                <w:sz w:val="16"/>
                <w:szCs w:val="16"/>
              </w:rPr>
              <w:t>Amounts Reported as ‘Stock Awards’ in SCT</w:t>
            </w:r>
          </w:p>
        </w:tc>
        <w:tc>
          <w:tcPr>
            <w:tcW w:w="1224" w:type="dxa"/>
            <w:tcBorders>
              <w:bottom w:val="single" w:sz="6" w:space="0" w:color="0075C9"/>
            </w:tcBorders>
            <w:noWrap/>
            <w:tcMar>
              <w:top w:w="0" w:type="dxa"/>
              <w:left w:w="144" w:type="dxa"/>
              <w:bottom w:w="0" w:type="dxa"/>
              <w:right w:w="0" w:type="dxa"/>
            </w:tcMar>
            <w:vAlign w:val="bottom"/>
            <w:hideMark/>
          </w:tcPr>
          <w:p w14:paraId="77748A57"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(39,236,137)</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4CEC13FB"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(12,794,861)</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17C75F13"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(42,269,560)</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56971C0A"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(15,496,861)</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7E1B980D"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(33,036,030)</w:t>
            </w:r>
            <w:r>
              <w:rPr>
                <w:rFonts w:ascii="Arial" w:hAnsi="Arial" w:cs="Arial"/>
                <w:sz w:val="16"/>
                <w:szCs w:val="16"/>
              </w:rPr>
              <w:tab/>
            </w:r>
          </w:p>
        </w:tc>
        <w:tc>
          <w:tcPr>
            <w:tcW w:w="1344" w:type="dxa"/>
            <w:tcBorders>
              <w:bottom w:val="single" w:sz="6" w:space="0" w:color="0075C9"/>
            </w:tcBorders>
            <w:noWrap/>
            <w:tcMar>
              <w:top w:w="0" w:type="dxa"/>
              <w:left w:w="144" w:type="dxa"/>
              <w:bottom w:w="0" w:type="dxa"/>
              <w:right w:w="0" w:type="dxa"/>
            </w:tcMar>
            <w:vAlign w:val="bottom"/>
            <w:hideMark/>
          </w:tcPr>
          <w:p w14:paraId="03A5248F" w14:textId="77777777" w:rsidR="00D246A9" w:rsidRDefault="00D246A9">
            <w:pPr>
              <w:pStyle w:val="NormalWeb"/>
              <w:tabs>
                <w:tab w:val="right" w:pos="1160"/>
                <w:tab w:val="decimal" w:pos="1200"/>
              </w:tabs>
              <w:spacing w:before="0" w:beforeAutospacing="0" w:after="20" w:afterAutospacing="0"/>
              <w:rPr>
                <w:rFonts w:ascii="Arial" w:hAnsi="Arial" w:cs="Arial"/>
                <w:sz w:val="16"/>
                <w:szCs w:val="16"/>
              </w:rPr>
            </w:pPr>
            <w:r>
              <w:rPr>
                <w:rFonts w:ascii="Arial" w:hAnsi="Arial" w:cs="Arial"/>
                <w:sz w:val="16"/>
                <w:szCs w:val="16"/>
              </w:rPr>
              <w:tab/>
              <w:t>(16,924,809)</w:t>
            </w:r>
            <w:r>
              <w:rPr>
                <w:rFonts w:ascii="Arial" w:hAnsi="Arial" w:cs="Arial"/>
                <w:sz w:val="16"/>
                <w:szCs w:val="16"/>
              </w:rPr>
              <w:tab/>
            </w:r>
          </w:p>
        </w:tc>
      </w:tr>
      <w:tr w:rsidR="00D246A9" w14:paraId="0849CADC" w14:textId="77777777" w:rsidTr="00FE0A0A">
        <w:trPr>
          <w:cantSplit/>
        </w:trPr>
        <w:tc>
          <w:tcPr>
            <w:tcW w:w="3256" w:type="dxa"/>
            <w:tcBorders>
              <w:bottom w:val="single" w:sz="6" w:space="0" w:color="0075C9"/>
            </w:tcBorders>
            <w:tcMar>
              <w:top w:w="0" w:type="dxa"/>
              <w:left w:w="0" w:type="dxa"/>
              <w:bottom w:w="40" w:type="dxa"/>
              <w:right w:w="0" w:type="dxa"/>
            </w:tcMar>
            <w:hideMark/>
          </w:tcPr>
          <w:p w14:paraId="6B4419AF" w14:textId="77777777" w:rsidR="00D246A9" w:rsidRPr="00306F7C" w:rsidRDefault="00D246A9">
            <w:pPr>
              <w:pStyle w:val="NormalWeb"/>
              <w:spacing w:before="0" w:beforeAutospacing="0" w:after="0" w:afterAutospacing="0"/>
              <w:ind w:left="120"/>
              <w:rPr>
                <w:rFonts w:ascii="Arial" w:hAnsi="Arial" w:cs="Arial"/>
                <w:sz w:val="16"/>
                <w:szCs w:val="16"/>
              </w:rPr>
            </w:pPr>
            <w:r>
              <w:rPr>
                <w:rFonts w:ascii="Arial" w:hAnsi="Arial" w:cs="Arial"/>
                <w:sz w:val="16"/>
                <w:szCs w:val="16"/>
              </w:rPr>
              <w:t>Fair Value of Equity Awards Granted in the Year and Unvested as of Year End</w:t>
            </w:r>
          </w:p>
        </w:tc>
        <w:tc>
          <w:tcPr>
            <w:tcW w:w="1224" w:type="dxa"/>
            <w:tcBorders>
              <w:bottom w:val="single" w:sz="6" w:space="0" w:color="0075C9"/>
            </w:tcBorders>
            <w:noWrap/>
            <w:tcMar>
              <w:top w:w="0" w:type="dxa"/>
              <w:left w:w="144" w:type="dxa"/>
              <w:bottom w:w="0" w:type="dxa"/>
              <w:right w:w="0" w:type="dxa"/>
            </w:tcMar>
            <w:vAlign w:val="bottom"/>
            <w:hideMark/>
          </w:tcPr>
          <w:p w14:paraId="2E9A4F27"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64,088,514</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70DB5951"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19,562,753</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29FE6393"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35,069,688</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1F3ECEA7"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13,075,853</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478AA4C0"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57,179,211</w:t>
            </w:r>
            <w:r>
              <w:rPr>
                <w:rFonts w:ascii="Arial" w:hAnsi="Arial" w:cs="Arial"/>
                <w:sz w:val="16"/>
                <w:szCs w:val="16"/>
              </w:rPr>
              <w:tab/>
            </w:r>
          </w:p>
        </w:tc>
        <w:tc>
          <w:tcPr>
            <w:tcW w:w="1344" w:type="dxa"/>
            <w:tcBorders>
              <w:bottom w:val="single" w:sz="6" w:space="0" w:color="0075C9"/>
            </w:tcBorders>
            <w:noWrap/>
            <w:tcMar>
              <w:top w:w="0" w:type="dxa"/>
              <w:left w:w="144" w:type="dxa"/>
              <w:bottom w:w="0" w:type="dxa"/>
              <w:right w:w="0" w:type="dxa"/>
            </w:tcMar>
            <w:vAlign w:val="bottom"/>
            <w:hideMark/>
          </w:tcPr>
          <w:p w14:paraId="2CDF298D" w14:textId="77777777" w:rsidR="00D246A9" w:rsidRDefault="00D246A9">
            <w:pPr>
              <w:pStyle w:val="NormalWeb"/>
              <w:tabs>
                <w:tab w:val="right" w:pos="1160"/>
                <w:tab w:val="decimal" w:pos="1200"/>
              </w:tabs>
              <w:spacing w:before="0" w:beforeAutospacing="0" w:after="20" w:afterAutospacing="0"/>
              <w:rPr>
                <w:rFonts w:ascii="Arial" w:hAnsi="Arial" w:cs="Arial"/>
                <w:sz w:val="16"/>
                <w:szCs w:val="16"/>
              </w:rPr>
            </w:pPr>
            <w:r>
              <w:rPr>
                <w:rFonts w:ascii="Arial" w:hAnsi="Arial" w:cs="Arial"/>
                <w:sz w:val="16"/>
                <w:szCs w:val="16"/>
              </w:rPr>
              <w:tab/>
              <w:t>26,131,853</w:t>
            </w:r>
            <w:r>
              <w:rPr>
                <w:rFonts w:ascii="Arial" w:hAnsi="Arial" w:cs="Arial"/>
                <w:sz w:val="16"/>
                <w:szCs w:val="16"/>
              </w:rPr>
              <w:tab/>
            </w:r>
          </w:p>
        </w:tc>
      </w:tr>
      <w:tr w:rsidR="00D246A9" w14:paraId="0F61FE1D" w14:textId="77777777" w:rsidTr="00FE0A0A">
        <w:trPr>
          <w:cantSplit/>
        </w:trPr>
        <w:tc>
          <w:tcPr>
            <w:tcW w:w="3256" w:type="dxa"/>
            <w:tcBorders>
              <w:bottom w:val="single" w:sz="6" w:space="0" w:color="0075C9"/>
            </w:tcBorders>
            <w:tcMar>
              <w:top w:w="0" w:type="dxa"/>
              <w:left w:w="0" w:type="dxa"/>
              <w:bottom w:w="40" w:type="dxa"/>
              <w:right w:w="0" w:type="dxa"/>
            </w:tcMar>
            <w:hideMark/>
          </w:tcPr>
          <w:p w14:paraId="7EF64C38" w14:textId="77777777" w:rsidR="00D246A9" w:rsidRPr="00306F7C" w:rsidRDefault="00D246A9">
            <w:pPr>
              <w:pStyle w:val="NormalWeb"/>
              <w:spacing w:before="0" w:beforeAutospacing="0" w:after="0" w:afterAutospacing="0"/>
              <w:ind w:left="120"/>
              <w:rPr>
                <w:rFonts w:ascii="Arial" w:hAnsi="Arial" w:cs="Arial"/>
                <w:sz w:val="16"/>
                <w:szCs w:val="16"/>
              </w:rPr>
            </w:pPr>
            <w:r>
              <w:rPr>
                <w:rFonts w:ascii="Arial" w:hAnsi="Arial" w:cs="Arial"/>
                <w:sz w:val="16"/>
                <w:szCs w:val="16"/>
              </w:rPr>
              <w:t>Change in Fair Value of Outstanding and Unvested Equity Awards, Year Over Year</w:t>
            </w:r>
          </w:p>
        </w:tc>
        <w:tc>
          <w:tcPr>
            <w:tcW w:w="1224" w:type="dxa"/>
            <w:tcBorders>
              <w:bottom w:val="single" w:sz="6" w:space="0" w:color="0075C9"/>
            </w:tcBorders>
            <w:noWrap/>
            <w:tcMar>
              <w:top w:w="0" w:type="dxa"/>
              <w:left w:w="144" w:type="dxa"/>
              <w:bottom w:w="0" w:type="dxa"/>
              <w:right w:w="0" w:type="dxa"/>
            </w:tcMar>
            <w:vAlign w:val="bottom"/>
            <w:hideMark/>
          </w:tcPr>
          <w:p w14:paraId="49D6FFB9"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16,808,552</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581D2DF4"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6,279,812</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7278C9FF"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193,685</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1EEA2C1B"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(166,764)</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18AAD403"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21,067,308</w:t>
            </w:r>
            <w:r>
              <w:rPr>
                <w:rFonts w:ascii="Arial" w:hAnsi="Arial" w:cs="Arial"/>
                <w:sz w:val="16"/>
                <w:szCs w:val="16"/>
              </w:rPr>
              <w:tab/>
            </w:r>
          </w:p>
        </w:tc>
        <w:tc>
          <w:tcPr>
            <w:tcW w:w="1344" w:type="dxa"/>
            <w:tcBorders>
              <w:bottom w:val="single" w:sz="6" w:space="0" w:color="0075C9"/>
            </w:tcBorders>
            <w:noWrap/>
            <w:tcMar>
              <w:top w:w="0" w:type="dxa"/>
              <w:left w:w="144" w:type="dxa"/>
              <w:bottom w:w="0" w:type="dxa"/>
              <w:right w:w="0" w:type="dxa"/>
            </w:tcMar>
            <w:vAlign w:val="bottom"/>
            <w:hideMark/>
          </w:tcPr>
          <w:p w14:paraId="6C944683" w14:textId="77777777" w:rsidR="00D246A9" w:rsidRDefault="00D246A9">
            <w:pPr>
              <w:pStyle w:val="NormalWeb"/>
              <w:tabs>
                <w:tab w:val="right" w:pos="1160"/>
                <w:tab w:val="decimal" w:pos="1200"/>
              </w:tabs>
              <w:spacing w:before="0" w:beforeAutospacing="0" w:after="20" w:afterAutospacing="0"/>
              <w:rPr>
                <w:rFonts w:ascii="Arial" w:hAnsi="Arial" w:cs="Arial"/>
                <w:sz w:val="16"/>
                <w:szCs w:val="16"/>
              </w:rPr>
            </w:pPr>
            <w:r>
              <w:rPr>
                <w:rFonts w:ascii="Arial" w:hAnsi="Arial" w:cs="Arial"/>
                <w:sz w:val="16"/>
                <w:szCs w:val="16"/>
              </w:rPr>
              <w:tab/>
              <w:t>5,281,172</w:t>
            </w:r>
            <w:r>
              <w:rPr>
                <w:rFonts w:ascii="Arial" w:hAnsi="Arial" w:cs="Arial"/>
                <w:sz w:val="16"/>
                <w:szCs w:val="16"/>
              </w:rPr>
              <w:tab/>
            </w:r>
          </w:p>
        </w:tc>
      </w:tr>
      <w:tr w:rsidR="00D246A9" w14:paraId="673065B8" w14:textId="77777777" w:rsidTr="00FE0A0A">
        <w:trPr>
          <w:cantSplit/>
        </w:trPr>
        <w:tc>
          <w:tcPr>
            <w:tcW w:w="3256" w:type="dxa"/>
            <w:tcBorders>
              <w:bottom w:val="single" w:sz="6" w:space="0" w:color="0075C9"/>
            </w:tcBorders>
            <w:tcMar>
              <w:top w:w="0" w:type="dxa"/>
              <w:left w:w="0" w:type="dxa"/>
              <w:bottom w:w="40" w:type="dxa"/>
              <w:right w:w="0" w:type="dxa"/>
            </w:tcMar>
            <w:hideMark/>
          </w:tcPr>
          <w:p w14:paraId="3062489A" w14:textId="77777777" w:rsidR="00D246A9" w:rsidRPr="00306F7C" w:rsidRDefault="00D246A9">
            <w:pPr>
              <w:pStyle w:val="NormalWeb"/>
              <w:spacing w:before="0" w:beforeAutospacing="0" w:after="0" w:afterAutospacing="0"/>
              <w:ind w:left="120"/>
              <w:rPr>
                <w:rFonts w:ascii="Arial" w:hAnsi="Arial" w:cs="Arial"/>
                <w:sz w:val="16"/>
                <w:szCs w:val="16"/>
              </w:rPr>
            </w:pPr>
            <w:r>
              <w:rPr>
                <w:rFonts w:ascii="Arial" w:hAnsi="Arial" w:cs="Arial"/>
                <w:sz w:val="16"/>
                <w:szCs w:val="16"/>
              </w:rPr>
              <w:t>Change in Fair Value of Equity Awards Vested, Granted in a Previous Year</w:t>
            </w:r>
          </w:p>
        </w:tc>
        <w:tc>
          <w:tcPr>
            <w:tcW w:w="1224" w:type="dxa"/>
            <w:tcBorders>
              <w:bottom w:val="single" w:sz="6" w:space="0" w:color="0075C9"/>
            </w:tcBorders>
            <w:noWrap/>
            <w:tcMar>
              <w:top w:w="0" w:type="dxa"/>
              <w:left w:w="144" w:type="dxa"/>
              <w:bottom w:w="0" w:type="dxa"/>
              <w:right w:w="0" w:type="dxa"/>
            </w:tcMar>
            <w:vAlign w:val="bottom"/>
            <w:hideMark/>
          </w:tcPr>
          <w:p w14:paraId="45880C7E"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2,905,722</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0F5421BB"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231,456</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299EC240"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8,996,261</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4A8ED762"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3,041,236</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64E9A50A"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43,991,800</w:t>
            </w:r>
            <w:r>
              <w:rPr>
                <w:rFonts w:ascii="Arial" w:hAnsi="Arial" w:cs="Arial"/>
                <w:sz w:val="16"/>
                <w:szCs w:val="16"/>
              </w:rPr>
              <w:tab/>
            </w:r>
          </w:p>
        </w:tc>
        <w:tc>
          <w:tcPr>
            <w:tcW w:w="1344" w:type="dxa"/>
            <w:tcBorders>
              <w:bottom w:val="single" w:sz="6" w:space="0" w:color="0075C9"/>
            </w:tcBorders>
            <w:noWrap/>
            <w:tcMar>
              <w:top w:w="0" w:type="dxa"/>
              <w:left w:w="144" w:type="dxa"/>
              <w:bottom w:w="0" w:type="dxa"/>
              <w:right w:w="0" w:type="dxa"/>
            </w:tcMar>
            <w:vAlign w:val="bottom"/>
            <w:hideMark/>
          </w:tcPr>
          <w:p w14:paraId="726D53AF" w14:textId="77777777" w:rsidR="00D246A9" w:rsidRDefault="00D246A9">
            <w:pPr>
              <w:pStyle w:val="NormalWeb"/>
              <w:tabs>
                <w:tab w:val="right" w:pos="1160"/>
                <w:tab w:val="decimal" w:pos="1200"/>
              </w:tabs>
              <w:spacing w:before="0" w:beforeAutospacing="0" w:after="20" w:afterAutospacing="0"/>
              <w:rPr>
                <w:rFonts w:ascii="Arial" w:hAnsi="Arial" w:cs="Arial"/>
                <w:sz w:val="16"/>
                <w:szCs w:val="16"/>
              </w:rPr>
            </w:pPr>
            <w:r>
              <w:rPr>
                <w:rFonts w:ascii="Arial" w:hAnsi="Arial" w:cs="Arial"/>
                <w:sz w:val="16"/>
                <w:szCs w:val="16"/>
              </w:rPr>
              <w:tab/>
              <w:t>2,661,670</w:t>
            </w:r>
            <w:r>
              <w:rPr>
                <w:rFonts w:ascii="Arial" w:hAnsi="Arial" w:cs="Arial"/>
                <w:sz w:val="16"/>
                <w:szCs w:val="16"/>
              </w:rPr>
              <w:tab/>
            </w:r>
          </w:p>
        </w:tc>
      </w:tr>
      <w:tr w:rsidR="00D246A9" w14:paraId="29D4C45A" w14:textId="77777777" w:rsidTr="00FE0A0A">
        <w:trPr>
          <w:cantSplit/>
        </w:trPr>
        <w:tc>
          <w:tcPr>
            <w:tcW w:w="3256" w:type="dxa"/>
            <w:tcBorders>
              <w:bottom w:val="single" w:sz="6" w:space="0" w:color="0075C9"/>
            </w:tcBorders>
            <w:tcMar>
              <w:top w:w="0" w:type="dxa"/>
              <w:left w:w="0" w:type="dxa"/>
              <w:bottom w:w="40" w:type="dxa"/>
              <w:right w:w="0" w:type="dxa"/>
            </w:tcMar>
            <w:hideMark/>
          </w:tcPr>
          <w:p w14:paraId="2E0B3AE4" w14:textId="77777777" w:rsidR="00D246A9" w:rsidRPr="00306F7C" w:rsidRDefault="00D246A9">
            <w:pPr>
              <w:pStyle w:val="NormalWeb"/>
              <w:spacing w:before="0" w:beforeAutospacing="0" w:after="0" w:afterAutospacing="0"/>
              <w:ind w:left="120"/>
              <w:rPr>
                <w:rFonts w:ascii="Arial" w:hAnsi="Arial" w:cs="Arial"/>
                <w:sz w:val="16"/>
                <w:szCs w:val="16"/>
              </w:rPr>
            </w:pPr>
            <w:r>
              <w:rPr>
                <w:rFonts w:ascii="Arial" w:hAnsi="Arial" w:cs="Arial"/>
                <w:b/>
                <w:bCs/>
                <w:sz w:val="16"/>
                <w:szCs w:val="16"/>
              </w:rPr>
              <w:t>Compensation Actually Paid</w:t>
            </w:r>
          </w:p>
        </w:tc>
        <w:tc>
          <w:tcPr>
            <w:tcW w:w="1224" w:type="dxa"/>
            <w:tcBorders>
              <w:bottom w:val="single" w:sz="6" w:space="0" w:color="0075C9"/>
            </w:tcBorders>
            <w:noWrap/>
            <w:tcMar>
              <w:top w:w="0" w:type="dxa"/>
              <w:left w:w="144" w:type="dxa"/>
              <w:bottom w:w="0" w:type="dxa"/>
              <w:right w:w="0" w:type="dxa"/>
            </w:tcMar>
            <w:vAlign w:val="bottom"/>
            <w:hideMark/>
          </w:tcPr>
          <w:p w14:paraId="7FDF0A60"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93,079,188</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2A9E0501"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29,288,965</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0B32C238"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56,936,384</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3551A36E"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20,527,908</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17F77892"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139,060,569</w:t>
            </w:r>
            <w:r>
              <w:rPr>
                <w:rFonts w:ascii="Arial" w:hAnsi="Arial" w:cs="Arial"/>
                <w:sz w:val="16"/>
                <w:szCs w:val="16"/>
              </w:rPr>
              <w:tab/>
            </w:r>
          </w:p>
        </w:tc>
        <w:tc>
          <w:tcPr>
            <w:tcW w:w="1344" w:type="dxa"/>
            <w:tcBorders>
              <w:bottom w:val="single" w:sz="6" w:space="0" w:color="0075C9"/>
            </w:tcBorders>
            <w:noWrap/>
            <w:tcMar>
              <w:top w:w="0" w:type="dxa"/>
              <w:left w:w="144" w:type="dxa"/>
              <w:bottom w:w="0" w:type="dxa"/>
              <w:right w:w="0" w:type="dxa"/>
            </w:tcMar>
            <w:vAlign w:val="bottom"/>
            <w:hideMark/>
          </w:tcPr>
          <w:p w14:paraId="0BD94911" w14:textId="77777777" w:rsidR="00D246A9" w:rsidRDefault="00D246A9">
            <w:pPr>
              <w:pStyle w:val="NormalWeb"/>
              <w:tabs>
                <w:tab w:val="right" w:pos="1160"/>
                <w:tab w:val="decimal" w:pos="1200"/>
              </w:tabs>
              <w:spacing w:before="0" w:beforeAutospacing="0" w:after="20" w:afterAutospacing="0"/>
              <w:rPr>
                <w:rFonts w:ascii="Arial" w:hAnsi="Arial" w:cs="Arial"/>
                <w:sz w:val="16"/>
                <w:szCs w:val="16"/>
              </w:rPr>
            </w:pPr>
            <w:r>
              <w:rPr>
                <w:rFonts w:ascii="Arial" w:hAnsi="Arial" w:cs="Arial"/>
                <w:sz w:val="16"/>
                <w:szCs w:val="16"/>
              </w:rPr>
              <w:tab/>
              <w:t>39,456,632</w:t>
            </w:r>
            <w:r>
              <w:rPr>
                <w:rFonts w:ascii="Arial" w:hAnsi="Arial" w:cs="Arial"/>
                <w:sz w:val="16"/>
                <w:szCs w:val="16"/>
              </w:rPr>
              <w:tab/>
            </w:r>
          </w:p>
        </w:tc>
      </w:tr>
    </w:tbl>
    <w:p w14:paraId="627D8CDB" w14:textId="77777777" w:rsidR="00D246A9" w:rsidRPr="00306F7C" w:rsidRDefault="00D246A9">
      <w:pPr>
        <w:pStyle w:val="NormalWeb"/>
        <w:spacing w:before="180" w:beforeAutospacing="0" w:after="0" w:afterAutospacing="0"/>
        <w:rPr>
          <w:sz w:val="2"/>
          <w:szCs w:val="2"/>
        </w:rPr>
      </w:pPr>
      <w:r>
        <w:rPr>
          <w:sz w:val="2"/>
          <w:szCs w:val="2"/>
        </w:rPr>
        <w:t> </w:t>
      </w:r>
    </w:p>
    <w:p w14:paraId="05919770" w14:textId="77777777" w:rsidR="00D246A9" w:rsidRDefault="00D246A9" w:rsidP="00D87FF2">
      <w:pPr>
        <w:pStyle w:val="NormalWeb"/>
        <w:keepNext/>
        <w:pageBreakBefore/>
        <w:spacing w:before="0" w:beforeAutospacing="0" w:after="0" w:afterAutospacing="0"/>
        <w:rPr>
          <w:rFonts w:ascii="Arial" w:hAnsi="Arial" w:cs="Arial"/>
          <w:sz w:val="18"/>
          <w:szCs w:val="18"/>
        </w:rPr>
      </w:pPr>
      <w:r>
        <w:rPr>
          <w:rFonts w:ascii="Arial" w:hAnsi="Arial" w:cs="Arial"/>
          <w:b/>
          <w:bCs/>
          <w:i/>
          <w:iCs/>
          <w:sz w:val="18"/>
          <w:szCs w:val="18"/>
        </w:rPr>
        <w:lastRenderedPageBreak/>
        <w:t xml:space="preserve">Financial Performance Measures </w:t>
      </w:r>
    </w:p>
    <w:p w14:paraId="3D6B4A0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accordance with the Pay Versus Performance Rules, the following table lists the financial performance measures that, in the Company’s assessment, represent the most important financial performance measures used to link “compensation actually paid” to our Named Executives, for fiscal year 2023, to Company performance, as further described in our Compensation Discussion and Analysis within the sections titled “Annual Cash Incentives” (see page 40) and “Equity Compensation” (see page 41). </w:t>
      </w:r>
    </w:p>
    <w:p w14:paraId="5804AE8F"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10800"/>
      </w:tblGrid>
      <w:tr w:rsidR="00D246A9" w14:paraId="7862C242" w14:textId="77777777" w:rsidTr="00FE0A0A">
        <w:trPr>
          <w:cantSplit/>
          <w:tblHeader/>
          <w:jc w:val="center"/>
        </w:trPr>
        <w:tc>
          <w:tcPr>
            <w:tcW w:w="10800" w:type="dxa"/>
            <w:tcBorders>
              <w:bottom w:val="single" w:sz="8" w:space="0" w:color="000000"/>
            </w:tcBorders>
            <w:tcMar>
              <w:top w:w="0" w:type="dxa"/>
              <w:left w:w="0" w:type="dxa"/>
              <w:bottom w:w="40" w:type="dxa"/>
              <w:right w:w="0" w:type="dxa"/>
            </w:tcMar>
            <w:vAlign w:val="bottom"/>
            <w:hideMark/>
          </w:tcPr>
          <w:p w14:paraId="57552469"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Most Important Performance Measures</w:t>
            </w:r>
          </w:p>
        </w:tc>
      </w:tr>
      <w:tr w:rsidR="00D246A9" w14:paraId="38E5C0A4" w14:textId="77777777" w:rsidTr="00FE0A0A">
        <w:trPr>
          <w:cantSplit/>
          <w:jc w:val="center"/>
        </w:trPr>
        <w:tc>
          <w:tcPr>
            <w:tcW w:w="10800" w:type="dxa"/>
            <w:tcBorders>
              <w:bottom w:val="single" w:sz="6" w:space="0" w:color="0075C9"/>
            </w:tcBorders>
            <w:tcMar>
              <w:top w:w="0" w:type="dxa"/>
              <w:left w:w="0" w:type="dxa"/>
              <w:bottom w:w="40" w:type="dxa"/>
              <w:right w:w="0" w:type="dxa"/>
            </w:tcMar>
            <w:hideMark/>
          </w:tcPr>
          <w:p w14:paraId="5C36AF09"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Microsoft Incentive Plan Revenue (Company Selected Measure)</w:t>
            </w:r>
          </w:p>
        </w:tc>
      </w:tr>
      <w:tr w:rsidR="00D246A9" w14:paraId="08C713E0" w14:textId="77777777" w:rsidTr="00FE0A0A">
        <w:trPr>
          <w:cantSplit/>
          <w:jc w:val="center"/>
        </w:trPr>
        <w:tc>
          <w:tcPr>
            <w:tcW w:w="10800" w:type="dxa"/>
            <w:tcBorders>
              <w:bottom w:val="single" w:sz="6" w:space="0" w:color="0075C9"/>
            </w:tcBorders>
            <w:tcMar>
              <w:top w:w="0" w:type="dxa"/>
              <w:left w:w="0" w:type="dxa"/>
              <w:bottom w:w="40" w:type="dxa"/>
              <w:right w:w="0" w:type="dxa"/>
            </w:tcMar>
            <w:hideMark/>
          </w:tcPr>
          <w:p w14:paraId="5C3217C7"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Relative TSR as compared to the S&amp;P 500</w:t>
            </w:r>
          </w:p>
        </w:tc>
      </w:tr>
      <w:tr w:rsidR="00D246A9" w14:paraId="6ABED42F" w14:textId="77777777" w:rsidTr="00FE0A0A">
        <w:trPr>
          <w:cantSplit/>
          <w:jc w:val="center"/>
        </w:trPr>
        <w:tc>
          <w:tcPr>
            <w:tcW w:w="10800" w:type="dxa"/>
            <w:tcBorders>
              <w:bottom w:val="single" w:sz="6" w:space="0" w:color="0075C9"/>
            </w:tcBorders>
            <w:tcMar>
              <w:top w:w="0" w:type="dxa"/>
              <w:left w:w="0" w:type="dxa"/>
              <w:bottom w:w="40" w:type="dxa"/>
              <w:right w:w="0" w:type="dxa"/>
            </w:tcMar>
            <w:hideMark/>
          </w:tcPr>
          <w:p w14:paraId="295631BC"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Microsoft Cloud Revenue</w:t>
            </w:r>
          </w:p>
        </w:tc>
      </w:tr>
      <w:tr w:rsidR="00D246A9" w14:paraId="27BD8A71" w14:textId="77777777" w:rsidTr="00FE0A0A">
        <w:trPr>
          <w:cantSplit/>
          <w:jc w:val="center"/>
        </w:trPr>
        <w:tc>
          <w:tcPr>
            <w:tcW w:w="10800" w:type="dxa"/>
            <w:tcBorders>
              <w:bottom w:val="single" w:sz="6" w:space="0" w:color="0075C9"/>
            </w:tcBorders>
            <w:tcMar>
              <w:top w:w="0" w:type="dxa"/>
              <w:left w:w="0" w:type="dxa"/>
              <w:bottom w:w="40" w:type="dxa"/>
              <w:right w:w="0" w:type="dxa"/>
            </w:tcMar>
            <w:hideMark/>
          </w:tcPr>
          <w:p w14:paraId="58E0161F"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Microsoft Incentive Plan Operating Income</w:t>
            </w:r>
          </w:p>
        </w:tc>
      </w:tr>
    </w:tbl>
    <w:p w14:paraId="2D74C919" w14:textId="77777777" w:rsidR="00D246A9" w:rsidRPr="00306F7C" w:rsidRDefault="00D246A9">
      <w:pPr>
        <w:pStyle w:val="NormalWeb"/>
        <w:keepNext/>
        <w:spacing w:before="0" w:beforeAutospacing="0" w:after="0" w:afterAutospacing="0"/>
      </w:pPr>
      <w:r>
        <w:t> </w:t>
      </w:r>
    </w:p>
    <w:p w14:paraId="745398D3" w14:textId="77777777" w:rsidR="00D246A9" w:rsidRDefault="00D246A9">
      <w:pPr>
        <w:pStyle w:val="NormalWeb"/>
        <w:keepNext/>
        <w:spacing w:before="0" w:beforeAutospacing="0" w:after="0" w:afterAutospacing="0"/>
        <w:rPr>
          <w:sz w:val="8"/>
          <w:szCs w:val="8"/>
        </w:rPr>
      </w:pPr>
      <w:r>
        <w:rPr>
          <w:sz w:val="8"/>
          <w:szCs w:val="8"/>
        </w:rPr>
        <w:t> </w:t>
      </w:r>
    </w:p>
    <w:p w14:paraId="461AC133"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i/>
          <w:iCs/>
          <w:sz w:val="18"/>
          <w:szCs w:val="18"/>
        </w:rPr>
        <w:t xml:space="preserve">Relationship Between “Compensation Actually Paid” and Performance Measures </w:t>
      </w:r>
    </w:p>
    <w:p w14:paraId="0B72A6C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accordance with the Pay Versus Performance Rules, the narrative below describes how “compensation actually paid” (CAP) to our Named Executives aligns with Microsoft’s financial performance as measured by our TSR, our Peer Group TSR, our net income, and Microsoft Incentive Plan Revenue. </w:t>
      </w:r>
    </w:p>
    <w:p w14:paraId="3E9A99A2" w14:textId="15D43816" w:rsidR="00D246A9" w:rsidRPr="00306F7C" w:rsidRDefault="006B4A60" w:rsidP="006B4A60">
      <w:pPr>
        <w:pStyle w:val="NormalWeb"/>
        <w:keepNext/>
        <w:spacing w:before="120" w:beforeAutospacing="0" w:after="0" w:afterAutospacing="0"/>
        <w:jc w:val="center"/>
      </w:pPr>
      <w:r>
        <w:rPr>
          <w:rFonts w:ascii="Arial" w:hAnsi="Arial" w:cs="Arial"/>
          <w:b/>
          <w:bCs/>
        </w:rPr>
        <w:t>Compensation Actually Paid vs. Microsoft TSR vs. Peer Group TSR</w:t>
      </w:r>
    </w:p>
    <w:p w14:paraId="4C04AF22" w14:textId="77777777" w:rsidR="00D246A9" w:rsidRDefault="00D246A9">
      <w:pPr>
        <w:pStyle w:val="NormalWeb"/>
        <w:keepNext/>
        <w:spacing w:before="0" w:beforeAutospacing="0" w:after="0" w:afterAutospacing="0"/>
        <w:rPr>
          <w:sz w:val="2"/>
          <w:szCs w:val="2"/>
        </w:rPr>
      </w:pPr>
      <w:r>
        <w:rPr>
          <w:sz w:val="2"/>
          <w:szCs w:val="2"/>
        </w:rPr>
        <w:t> </w:t>
      </w:r>
    </w:p>
    <w:p w14:paraId="6ABF9440" w14:textId="095F7004" w:rsidR="00D246A9" w:rsidRDefault="00B91285">
      <w:pPr>
        <w:pStyle w:val="NormalWeb"/>
        <w:spacing w:before="0" w:beforeAutospacing="0" w:after="0" w:afterAutospacing="0"/>
        <w:jc w:val="center"/>
      </w:pPr>
      <w:r>
        <w:rPr>
          <w:noProof/>
        </w:rPr>
        <w:drawing>
          <wp:inline distT="0" distB="0" distL="0" distR="0" wp14:anchorId="2D59034D" wp14:editId="000FF6A4">
            <wp:extent cx="4937760" cy="3181061"/>
            <wp:effectExtent l="0" t="0" r="0" b="635"/>
            <wp:docPr id="1328068794" name="Picture 13" descr="In 2021, our PEO CAP was 139 million dollars while our average CAP for non-PEO NEOs was 39 million dollars. That year, the value of an initial 100 dollar investment from June 30, 2020 expressed as Total Shareholder Return was $134 for Microsoft and $150 for our peer group. &#10;&#10;In 2022, our PEO CAP was 57 million dollars while our average CAP for non-PEO NEOs was 21 million dollars. That year, the value of an initial 100 dollar investment from June 30, 2020 expressed as Total Shareholder Return was $128 for Microsoft and $123 for our peer group. &#10;&#10;In 2023, our PEO CAP was 93 million dollars while our average CAP for non-PEO NEOs was 29 million dollars. That year, the value of an initial 100 dollar investment from June 30, 2020 expressed as Total Shareholder Return was $172 for Microsoft and $168 for our peer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68794" name="Picture 13" descr="In 2021, our PEO CAP was 139 million dollars while our average CAP for non-PEO NEOs was 39 million dollars. That year, the value of an initial 100 dollar investment from June 30, 2020 expressed as Total Shareholder Return was $134 for Microsoft and $150 for our peer group. &#10;&#10;In 2022, our PEO CAP was 57 million dollars while our average CAP for non-PEO NEOs was 21 million dollars. That year, the value of an initial 100 dollar investment from June 30, 2020 expressed as Total Shareholder Return was $128 for Microsoft and $123 for our peer group. &#10;&#10;In 2023, our PEO CAP was 93 million dollars while our average CAP for non-PEO NEOs was 29 million dollars. That year, the value of an initial 100 dollar investment from June 30, 2020 expressed as Total Shareholder Return was $172 for Microsoft and $168 for our peer group. "/>
                    <pic:cNvPicPr/>
                  </pic:nvPicPr>
                  <pic:blipFill>
                    <a:blip r:embed="rId61">
                      <a:extLst>
                        <a:ext uri="{28A0092B-C50C-407E-A947-70E740481C1C}">
                          <a14:useLocalDpi xmlns:a14="http://schemas.microsoft.com/office/drawing/2010/main" val="0"/>
                        </a:ext>
                      </a:extLst>
                    </a:blip>
                    <a:stretch>
                      <a:fillRect/>
                    </a:stretch>
                  </pic:blipFill>
                  <pic:spPr>
                    <a:xfrm>
                      <a:off x="0" y="0"/>
                      <a:ext cx="4937760" cy="3181061"/>
                    </a:xfrm>
                    <a:prstGeom prst="rect">
                      <a:avLst/>
                    </a:prstGeom>
                  </pic:spPr>
                </pic:pic>
              </a:graphicData>
            </a:graphic>
          </wp:inline>
        </w:drawing>
      </w:r>
    </w:p>
    <w:p w14:paraId="52A7407A" w14:textId="77777777" w:rsidR="00D246A9" w:rsidRDefault="00D246A9" w:rsidP="00D87FF2">
      <w:pPr>
        <w:pStyle w:val="NormalWeb"/>
        <w:pageBreakBefore/>
        <w:spacing w:before="180" w:beforeAutospacing="0" w:after="0" w:afterAutospacing="0"/>
        <w:rPr>
          <w:sz w:val="2"/>
          <w:szCs w:val="2"/>
        </w:rPr>
      </w:pPr>
      <w:r>
        <w:rPr>
          <w:sz w:val="2"/>
          <w:szCs w:val="2"/>
        </w:rPr>
        <w:lastRenderedPageBreak/>
        <w:t> </w:t>
      </w:r>
    </w:p>
    <w:p w14:paraId="29A7F85E" w14:textId="4470C93D" w:rsidR="00D246A9" w:rsidRPr="00306F7C" w:rsidRDefault="006B4A60" w:rsidP="006B4A60">
      <w:pPr>
        <w:pStyle w:val="NormalWeb"/>
        <w:keepNext/>
        <w:spacing w:before="0" w:beforeAutospacing="0" w:after="160" w:afterAutospacing="0"/>
        <w:jc w:val="center"/>
      </w:pPr>
      <w:r>
        <w:rPr>
          <w:rFonts w:ascii="Arial" w:hAnsi="Arial" w:cs="Arial"/>
          <w:b/>
          <w:bCs/>
        </w:rPr>
        <w:t>Compensation Actually Paid vs. Net Income vs. Incentive Plan Revenue</w:t>
      </w:r>
    </w:p>
    <w:p w14:paraId="2BEFF93A" w14:textId="77777777" w:rsidR="00D246A9" w:rsidRDefault="00D246A9">
      <w:pPr>
        <w:pStyle w:val="NormalWeb"/>
        <w:keepNext/>
        <w:spacing w:before="0" w:beforeAutospacing="0" w:after="0" w:afterAutospacing="0"/>
        <w:rPr>
          <w:sz w:val="2"/>
          <w:szCs w:val="2"/>
        </w:rPr>
      </w:pPr>
      <w:r>
        <w:rPr>
          <w:sz w:val="2"/>
          <w:szCs w:val="2"/>
        </w:rPr>
        <w:t> </w:t>
      </w:r>
    </w:p>
    <w:p w14:paraId="3039000F" w14:textId="331001D9" w:rsidR="00D246A9" w:rsidRDefault="00EE69D4">
      <w:pPr>
        <w:pStyle w:val="NormalWeb"/>
        <w:spacing w:before="0" w:beforeAutospacing="0" w:after="0" w:afterAutospacing="0"/>
        <w:jc w:val="center"/>
      </w:pPr>
      <w:r>
        <w:rPr>
          <w:noProof/>
        </w:rPr>
        <w:drawing>
          <wp:inline distT="0" distB="0" distL="0" distR="0" wp14:anchorId="0823BC20" wp14:editId="24767794">
            <wp:extent cx="4937760" cy="3137831"/>
            <wp:effectExtent l="0" t="0" r="0" b="5715"/>
            <wp:docPr id="1701376637" name="Picture 14" descr="In 2021, our PEO CAP was 139 million dollars while our average CAP for non-PEO NEOs was 39 million dollars. That year, our Net Income was 61 billion dollars and incentive plan revenue was 171 billion dollars.&#10;&#10;In 2022, our PEO CAP was 57 million dollars while our average CAP for non-PEO NEOs was 21 million dollars. That year, our Net Income was 73 billion dollars and incentive plan revenue was 207 billion dollars.&#10;&#10;In 2023, our PEO CAP was 93 million dollars while our average CAP for non-PEO NEOs was 29 million dollars. That year, our Net Income was 72 billion dollars and incentive plan revenue was 220 billion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76637" name="Picture 14" descr="In 2021, our PEO CAP was 139 million dollars while our average CAP for non-PEO NEOs was 39 million dollars. That year, our Net Income was 61 billion dollars and incentive plan revenue was 171 billion dollars.&#10;&#10;In 2022, our PEO CAP was 57 million dollars while our average CAP for non-PEO NEOs was 21 million dollars. That year, our Net Income was 73 billion dollars and incentive plan revenue was 207 billion dollars.&#10;&#10;In 2023, our PEO CAP was 93 million dollars while our average CAP for non-PEO NEOs was 29 million dollars. That year, our Net Income was 72 billion dollars and incentive plan revenue was 220 billion dollars."/>
                    <pic:cNvPicPr/>
                  </pic:nvPicPr>
                  <pic:blipFill>
                    <a:blip r:embed="rId62">
                      <a:extLst>
                        <a:ext uri="{28A0092B-C50C-407E-A947-70E740481C1C}">
                          <a14:useLocalDpi xmlns:a14="http://schemas.microsoft.com/office/drawing/2010/main" val="0"/>
                        </a:ext>
                      </a:extLst>
                    </a:blip>
                    <a:stretch>
                      <a:fillRect/>
                    </a:stretch>
                  </pic:blipFill>
                  <pic:spPr>
                    <a:xfrm>
                      <a:off x="0" y="0"/>
                      <a:ext cx="4937760" cy="3137831"/>
                    </a:xfrm>
                    <a:prstGeom prst="rect">
                      <a:avLst/>
                    </a:prstGeom>
                  </pic:spPr>
                </pic:pic>
              </a:graphicData>
            </a:graphic>
          </wp:inline>
        </w:drawing>
      </w:r>
    </w:p>
    <w:p w14:paraId="15C41F10" w14:textId="77777777" w:rsidR="00D246A9" w:rsidRDefault="00D246A9">
      <w:pPr>
        <w:pStyle w:val="NormalWeb"/>
        <w:spacing w:before="240" w:beforeAutospacing="0" w:after="0" w:afterAutospacing="0"/>
        <w:rPr>
          <w:sz w:val="2"/>
          <w:szCs w:val="2"/>
        </w:rPr>
      </w:pPr>
      <w:r>
        <w:rPr>
          <w:sz w:val="2"/>
          <w:szCs w:val="2"/>
        </w:rPr>
        <w:t> </w:t>
      </w:r>
    </w:p>
    <w:p w14:paraId="1FE85399" w14:textId="77777777" w:rsidR="00D246A9" w:rsidRDefault="00D246A9" w:rsidP="00D87FF2">
      <w:pPr>
        <w:pStyle w:val="rrdsinglerule"/>
        <w:pageBreakBefore/>
        <w:pBdr>
          <w:top w:val="single" w:sz="6" w:space="0" w:color="0075C9"/>
        </w:pBdr>
        <w:rPr>
          <w:sz w:val="24"/>
          <w:szCs w:val="24"/>
        </w:rPr>
      </w:pPr>
      <w:r>
        <w:lastRenderedPageBreak/>
        <w:t> </w:t>
      </w:r>
    </w:p>
    <w:p w14:paraId="2EDBE38F" w14:textId="77777777" w:rsidR="00D246A9" w:rsidRDefault="00D246A9" w:rsidP="00B4165A">
      <w:pPr>
        <w:pStyle w:val="Heading3"/>
      </w:pPr>
      <w:bookmarkStart w:id="24" w:name="toc356108_25"/>
      <w:bookmarkEnd w:id="24"/>
      <w:r>
        <w:t xml:space="preserve">Equity Compensation Plan Information </w:t>
      </w:r>
    </w:p>
    <w:p w14:paraId="44B5A9A9"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table provides information about shares of Microsoft common stock that may be issued under our equity compensation plans approved by shareholders and plans not approved by shareholders (if any) as of June 30, 2023. Under the 2017 and 2001 Stock Plans, no option or stock appreciation rights may be repriced, replaced, regranted through cancellation, repurchased for cash or other consideration, or modified without shareholder approval (except in connection with a change in our capitalization) if the effect would be to reduce the exercise price for the shares underlying the award. </w:t>
      </w:r>
    </w:p>
    <w:p w14:paraId="083A8187"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468"/>
        <w:gridCol w:w="2384"/>
        <w:gridCol w:w="2164"/>
        <w:gridCol w:w="2784"/>
      </w:tblGrid>
      <w:tr w:rsidR="00D246A9" w14:paraId="7AF10B33" w14:textId="77777777" w:rsidTr="00FE0A0A">
        <w:trPr>
          <w:cantSplit/>
          <w:tblHeader/>
        </w:trPr>
        <w:tc>
          <w:tcPr>
            <w:tcW w:w="3468" w:type="dxa"/>
            <w:tcBorders>
              <w:bottom w:val="single" w:sz="8" w:space="0" w:color="000000"/>
            </w:tcBorders>
            <w:tcMar>
              <w:top w:w="0" w:type="dxa"/>
              <w:left w:w="0" w:type="dxa"/>
              <w:bottom w:w="40" w:type="dxa"/>
              <w:right w:w="0" w:type="dxa"/>
            </w:tcMar>
            <w:vAlign w:val="bottom"/>
            <w:hideMark/>
          </w:tcPr>
          <w:p w14:paraId="2274ADAA"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Plan Category</w:t>
            </w:r>
          </w:p>
        </w:tc>
        <w:tc>
          <w:tcPr>
            <w:tcW w:w="2384" w:type="dxa"/>
            <w:tcBorders>
              <w:bottom w:val="single" w:sz="8" w:space="0" w:color="000000"/>
            </w:tcBorders>
            <w:noWrap/>
            <w:tcMar>
              <w:top w:w="0" w:type="dxa"/>
              <w:left w:w="144" w:type="dxa"/>
              <w:bottom w:w="0" w:type="dxa"/>
              <w:right w:w="0" w:type="dxa"/>
            </w:tcMar>
            <w:vAlign w:val="bottom"/>
            <w:hideMark/>
          </w:tcPr>
          <w:p w14:paraId="71370E79"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Number of Securities</w:t>
            </w:r>
          </w:p>
          <w:p w14:paraId="68332F3E"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to be Issued Upon</w:t>
            </w:r>
          </w:p>
          <w:p w14:paraId="0EA83DF6"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Exercise of Outstanding</w:t>
            </w:r>
          </w:p>
          <w:p w14:paraId="675DB113"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Options, Warrants</w:t>
            </w:r>
          </w:p>
          <w:p w14:paraId="105F1446"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and Rights</w:t>
            </w:r>
            <w:r>
              <w:rPr>
                <w:rFonts w:ascii="Arial" w:hAnsi="Arial" w:cs="Arial"/>
                <w:b/>
                <w:bCs/>
                <w:sz w:val="14"/>
                <w:szCs w:val="14"/>
                <w:vertAlign w:val="superscript"/>
              </w:rPr>
              <w:t>1</w:t>
            </w:r>
          </w:p>
          <w:p w14:paraId="2A998A43"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(a)</w:t>
            </w:r>
          </w:p>
        </w:tc>
        <w:tc>
          <w:tcPr>
            <w:tcW w:w="2164" w:type="dxa"/>
            <w:tcBorders>
              <w:bottom w:val="single" w:sz="8" w:space="0" w:color="000000"/>
            </w:tcBorders>
            <w:noWrap/>
            <w:tcMar>
              <w:top w:w="0" w:type="dxa"/>
              <w:left w:w="144" w:type="dxa"/>
              <w:bottom w:w="0" w:type="dxa"/>
              <w:right w:w="0" w:type="dxa"/>
            </w:tcMar>
            <w:vAlign w:val="bottom"/>
            <w:hideMark/>
          </w:tcPr>
          <w:p w14:paraId="5F59F518"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Weighted-Average</w:t>
            </w:r>
          </w:p>
          <w:p w14:paraId="191C81DF"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Exercise Price</w:t>
            </w:r>
          </w:p>
          <w:p w14:paraId="75AF0DEB"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of Outstanding</w:t>
            </w:r>
          </w:p>
          <w:p w14:paraId="57B5DC44"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Options, Warrants,</w:t>
            </w:r>
          </w:p>
          <w:p w14:paraId="76D00C1E"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and Rights</w:t>
            </w:r>
            <w:r>
              <w:rPr>
                <w:rFonts w:ascii="Arial" w:hAnsi="Arial" w:cs="Arial"/>
                <w:b/>
                <w:bCs/>
                <w:sz w:val="14"/>
                <w:szCs w:val="14"/>
                <w:vertAlign w:val="superscript"/>
              </w:rPr>
              <w:t>2</w:t>
            </w:r>
          </w:p>
          <w:p w14:paraId="266DDEED"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roofErr w:type="gramStart"/>
            <w:r>
              <w:rPr>
                <w:rFonts w:ascii="Arial" w:hAnsi="Arial" w:cs="Arial"/>
                <w:b/>
                <w:bCs/>
                <w:sz w:val="18"/>
                <w:szCs w:val="18"/>
              </w:rPr>
              <w:t>$)(</w:t>
            </w:r>
            <w:proofErr w:type="gramEnd"/>
            <w:r>
              <w:rPr>
                <w:rFonts w:ascii="Arial" w:hAnsi="Arial" w:cs="Arial"/>
                <w:b/>
                <w:bCs/>
                <w:sz w:val="18"/>
                <w:szCs w:val="18"/>
              </w:rPr>
              <w:t>b)</w:t>
            </w:r>
          </w:p>
        </w:tc>
        <w:tc>
          <w:tcPr>
            <w:tcW w:w="2784" w:type="dxa"/>
            <w:tcBorders>
              <w:bottom w:val="single" w:sz="8" w:space="0" w:color="000000"/>
            </w:tcBorders>
            <w:noWrap/>
            <w:tcMar>
              <w:top w:w="0" w:type="dxa"/>
              <w:left w:w="144" w:type="dxa"/>
              <w:bottom w:w="0" w:type="dxa"/>
              <w:right w:w="0" w:type="dxa"/>
            </w:tcMar>
            <w:vAlign w:val="bottom"/>
            <w:hideMark/>
          </w:tcPr>
          <w:p w14:paraId="600DDFAB"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Number of Securities</w:t>
            </w:r>
          </w:p>
          <w:p w14:paraId="0F4A9E75"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Remaining Available</w:t>
            </w:r>
          </w:p>
          <w:p w14:paraId="3CADA13B"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for Future Issuance</w:t>
            </w:r>
          </w:p>
          <w:p w14:paraId="6C0F2D25"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Under Equity</w:t>
            </w:r>
          </w:p>
          <w:p w14:paraId="1D43E70B"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Compensation Plans</w:t>
            </w:r>
          </w:p>
          <w:p w14:paraId="51035B8D"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(Excluding Securities</w:t>
            </w:r>
          </w:p>
          <w:p w14:paraId="08DBFFCD"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Reflected in Column (</w:t>
            </w:r>
            <w:proofErr w:type="gramStart"/>
            <w:r>
              <w:rPr>
                <w:rFonts w:ascii="Arial" w:hAnsi="Arial" w:cs="Arial"/>
                <w:b/>
                <w:bCs/>
                <w:sz w:val="18"/>
                <w:szCs w:val="18"/>
              </w:rPr>
              <w:t>a))</w:t>
            </w:r>
            <w:proofErr w:type="gramEnd"/>
            <w:r>
              <w:rPr>
                <w:rFonts w:ascii="Arial" w:hAnsi="Arial" w:cs="Arial"/>
                <w:b/>
                <w:bCs/>
                <w:sz w:val="14"/>
                <w:szCs w:val="14"/>
                <w:vertAlign w:val="superscript"/>
              </w:rPr>
              <w:t>3</w:t>
            </w:r>
            <w:r>
              <w:rPr>
                <w:rFonts w:ascii="Arial" w:hAnsi="Arial" w:cs="Arial"/>
                <w:b/>
                <w:bCs/>
                <w:sz w:val="18"/>
                <w:szCs w:val="18"/>
              </w:rPr>
              <w:br/>
              <w:t>(c)</w:t>
            </w:r>
          </w:p>
        </w:tc>
      </w:tr>
      <w:tr w:rsidR="00D246A9" w14:paraId="0B400368" w14:textId="77777777" w:rsidTr="00FE0A0A">
        <w:trPr>
          <w:cantSplit/>
        </w:trPr>
        <w:tc>
          <w:tcPr>
            <w:tcW w:w="3468" w:type="dxa"/>
            <w:tcBorders>
              <w:bottom w:val="single" w:sz="6" w:space="0" w:color="0075C9"/>
            </w:tcBorders>
            <w:tcMar>
              <w:top w:w="0" w:type="dxa"/>
              <w:left w:w="0" w:type="dxa"/>
              <w:bottom w:w="40" w:type="dxa"/>
              <w:right w:w="0" w:type="dxa"/>
            </w:tcMar>
            <w:hideMark/>
          </w:tcPr>
          <w:p w14:paraId="67B46640" w14:textId="77777777" w:rsidR="00D246A9" w:rsidRPr="00306F7C" w:rsidRDefault="00D246A9">
            <w:pPr>
              <w:pStyle w:val="NormalWeb"/>
              <w:keepNext/>
              <w:spacing w:before="0" w:beforeAutospacing="0" w:after="0" w:afterAutospacing="0"/>
              <w:ind w:left="106"/>
              <w:rPr>
                <w:rFonts w:ascii="Arial" w:hAnsi="Arial" w:cs="Arial"/>
                <w:sz w:val="18"/>
                <w:szCs w:val="18"/>
              </w:rPr>
            </w:pPr>
            <w:r>
              <w:rPr>
                <w:rFonts w:ascii="Arial" w:hAnsi="Arial" w:cs="Arial"/>
                <w:sz w:val="18"/>
                <w:szCs w:val="18"/>
              </w:rPr>
              <w:t>Equity compensation plans approved by security holders</w:t>
            </w:r>
          </w:p>
        </w:tc>
        <w:tc>
          <w:tcPr>
            <w:tcW w:w="2384" w:type="dxa"/>
            <w:tcBorders>
              <w:bottom w:val="single" w:sz="6" w:space="0" w:color="0075C9"/>
            </w:tcBorders>
            <w:noWrap/>
            <w:tcMar>
              <w:top w:w="0" w:type="dxa"/>
              <w:left w:w="144" w:type="dxa"/>
              <w:bottom w:w="0" w:type="dxa"/>
              <w:right w:w="0" w:type="dxa"/>
            </w:tcMar>
            <w:vAlign w:val="bottom"/>
            <w:hideMark/>
          </w:tcPr>
          <w:p w14:paraId="0EC39E43" w14:textId="77777777" w:rsidR="00D246A9" w:rsidRDefault="00D246A9">
            <w:pPr>
              <w:pStyle w:val="NormalWeb"/>
              <w:tabs>
                <w:tab w:val="right" w:pos="2200"/>
                <w:tab w:val="decimal" w:pos="2240"/>
              </w:tabs>
              <w:spacing w:before="0" w:beforeAutospacing="0" w:after="20" w:afterAutospacing="0"/>
              <w:rPr>
                <w:rFonts w:ascii="Arial" w:hAnsi="Arial" w:cs="Arial"/>
                <w:sz w:val="18"/>
                <w:szCs w:val="18"/>
              </w:rPr>
            </w:pPr>
            <w:r>
              <w:rPr>
                <w:rFonts w:ascii="Arial" w:hAnsi="Arial" w:cs="Arial"/>
                <w:sz w:val="18"/>
                <w:szCs w:val="18"/>
              </w:rPr>
              <w:tab/>
              <w:t>96,357,022</w:t>
            </w:r>
            <w:r>
              <w:rPr>
                <w:rFonts w:ascii="Arial" w:hAnsi="Arial" w:cs="Arial"/>
                <w:sz w:val="18"/>
                <w:szCs w:val="18"/>
              </w:rPr>
              <w:tab/>
            </w:r>
          </w:p>
        </w:tc>
        <w:tc>
          <w:tcPr>
            <w:tcW w:w="2164" w:type="dxa"/>
            <w:tcBorders>
              <w:bottom w:val="single" w:sz="6" w:space="0" w:color="0075C9"/>
            </w:tcBorders>
            <w:noWrap/>
            <w:tcMar>
              <w:top w:w="0" w:type="dxa"/>
              <w:left w:w="144" w:type="dxa"/>
              <w:bottom w:w="0" w:type="dxa"/>
              <w:right w:w="0" w:type="dxa"/>
            </w:tcMar>
            <w:vAlign w:val="bottom"/>
            <w:hideMark/>
          </w:tcPr>
          <w:p w14:paraId="019B313B" w14:textId="77777777" w:rsidR="00D246A9" w:rsidRDefault="00D246A9">
            <w:pPr>
              <w:pStyle w:val="NormalWeb"/>
              <w:tabs>
                <w:tab w:val="right" w:pos="1980"/>
                <w:tab w:val="decimal" w:pos="2020"/>
              </w:tabs>
              <w:spacing w:before="0" w:beforeAutospacing="0" w:after="20" w:afterAutospacing="0"/>
              <w:rPr>
                <w:rFonts w:ascii="Arial" w:hAnsi="Arial" w:cs="Arial"/>
                <w:sz w:val="18"/>
                <w:szCs w:val="18"/>
              </w:rPr>
            </w:pPr>
            <w:r>
              <w:rPr>
                <w:rFonts w:ascii="Arial" w:hAnsi="Arial" w:cs="Arial"/>
                <w:sz w:val="18"/>
                <w:szCs w:val="18"/>
              </w:rPr>
              <w:tab/>
              <w:t>38.53</w:t>
            </w:r>
            <w:r>
              <w:rPr>
                <w:rFonts w:ascii="Arial" w:hAnsi="Arial" w:cs="Arial"/>
                <w:sz w:val="18"/>
                <w:szCs w:val="18"/>
              </w:rPr>
              <w:tab/>
            </w:r>
          </w:p>
        </w:tc>
        <w:tc>
          <w:tcPr>
            <w:tcW w:w="2784" w:type="dxa"/>
            <w:tcBorders>
              <w:bottom w:val="single" w:sz="6" w:space="0" w:color="0075C9"/>
            </w:tcBorders>
            <w:noWrap/>
            <w:tcMar>
              <w:top w:w="0" w:type="dxa"/>
              <w:left w:w="144" w:type="dxa"/>
              <w:bottom w:w="0" w:type="dxa"/>
              <w:right w:w="0" w:type="dxa"/>
            </w:tcMar>
            <w:vAlign w:val="bottom"/>
            <w:hideMark/>
          </w:tcPr>
          <w:p w14:paraId="39BC6373" w14:textId="77777777" w:rsidR="00D246A9" w:rsidRDefault="00D246A9">
            <w:pPr>
              <w:pStyle w:val="NormalWeb"/>
              <w:tabs>
                <w:tab w:val="right" w:pos="2600"/>
                <w:tab w:val="decimal" w:pos="2640"/>
              </w:tabs>
              <w:spacing w:before="0" w:beforeAutospacing="0" w:after="20" w:afterAutospacing="0"/>
              <w:rPr>
                <w:rFonts w:ascii="Arial" w:hAnsi="Arial" w:cs="Arial"/>
                <w:sz w:val="18"/>
                <w:szCs w:val="18"/>
              </w:rPr>
            </w:pPr>
            <w:r>
              <w:rPr>
                <w:rFonts w:ascii="Arial" w:hAnsi="Arial" w:cs="Arial"/>
                <w:sz w:val="18"/>
                <w:szCs w:val="18"/>
              </w:rPr>
              <w:tab/>
              <w:t>238,330,145</w:t>
            </w:r>
            <w:r>
              <w:rPr>
                <w:rFonts w:ascii="Arial" w:hAnsi="Arial" w:cs="Arial"/>
                <w:sz w:val="18"/>
                <w:szCs w:val="18"/>
              </w:rPr>
              <w:tab/>
            </w:r>
          </w:p>
        </w:tc>
      </w:tr>
      <w:tr w:rsidR="00D246A9" w14:paraId="448D62EF" w14:textId="77777777" w:rsidTr="00FE0A0A">
        <w:trPr>
          <w:cantSplit/>
        </w:trPr>
        <w:tc>
          <w:tcPr>
            <w:tcW w:w="3468" w:type="dxa"/>
            <w:tcBorders>
              <w:bottom w:val="single" w:sz="6" w:space="0" w:color="0075C9"/>
            </w:tcBorders>
            <w:tcMar>
              <w:top w:w="0" w:type="dxa"/>
              <w:left w:w="0" w:type="dxa"/>
              <w:bottom w:w="40" w:type="dxa"/>
              <w:right w:w="0" w:type="dxa"/>
            </w:tcMar>
            <w:hideMark/>
          </w:tcPr>
          <w:p w14:paraId="441D2125" w14:textId="77777777" w:rsidR="00D246A9" w:rsidRPr="00306F7C" w:rsidRDefault="00D246A9">
            <w:pPr>
              <w:pStyle w:val="NormalWeb"/>
              <w:keepNext/>
              <w:spacing w:before="0" w:beforeAutospacing="0" w:after="0" w:afterAutospacing="0"/>
              <w:ind w:left="106"/>
              <w:rPr>
                <w:rFonts w:ascii="Arial" w:hAnsi="Arial" w:cs="Arial"/>
                <w:sz w:val="18"/>
                <w:szCs w:val="18"/>
              </w:rPr>
            </w:pPr>
            <w:r>
              <w:rPr>
                <w:rFonts w:ascii="Arial" w:hAnsi="Arial" w:cs="Arial"/>
                <w:sz w:val="18"/>
                <w:szCs w:val="18"/>
              </w:rPr>
              <w:t>Equity compensation plans not approved by security holders</w:t>
            </w:r>
          </w:p>
        </w:tc>
        <w:tc>
          <w:tcPr>
            <w:tcW w:w="2384" w:type="dxa"/>
            <w:tcBorders>
              <w:bottom w:val="single" w:sz="6" w:space="0" w:color="0075C9"/>
            </w:tcBorders>
            <w:noWrap/>
            <w:tcMar>
              <w:top w:w="0" w:type="dxa"/>
              <w:left w:w="144" w:type="dxa"/>
              <w:bottom w:w="0" w:type="dxa"/>
              <w:right w:w="0" w:type="dxa"/>
            </w:tcMar>
            <w:vAlign w:val="bottom"/>
            <w:hideMark/>
          </w:tcPr>
          <w:p w14:paraId="2C8D5ADD" w14:textId="77777777" w:rsidR="00D246A9" w:rsidRDefault="00D246A9">
            <w:pPr>
              <w:pStyle w:val="NormalWeb"/>
              <w:tabs>
                <w:tab w:val="right" w:pos="2200"/>
                <w:tab w:val="decimal" w:pos="22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164" w:type="dxa"/>
            <w:tcBorders>
              <w:bottom w:val="single" w:sz="6" w:space="0" w:color="0075C9"/>
            </w:tcBorders>
            <w:noWrap/>
            <w:tcMar>
              <w:top w:w="0" w:type="dxa"/>
              <w:left w:w="144" w:type="dxa"/>
              <w:bottom w:w="0" w:type="dxa"/>
              <w:right w:w="0" w:type="dxa"/>
            </w:tcMar>
            <w:vAlign w:val="bottom"/>
            <w:hideMark/>
          </w:tcPr>
          <w:p w14:paraId="45E3A2A2" w14:textId="77777777" w:rsidR="00D246A9" w:rsidRDefault="00D246A9">
            <w:pPr>
              <w:pStyle w:val="NormalWeb"/>
              <w:tabs>
                <w:tab w:val="right" w:pos="1980"/>
                <w:tab w:val="decimal" w:pos="2020"/>
              </w:tabs>
              <w:spacing w:before="0" w:beforeAutospacing="0" w:after="20" w:afterAutospacing="0"/>
              <w:rPr>
                <w:rFonts w:ascii="Arial" w:hAnsi="Arial" w:cs="Arial"/>
                <w:sz w:val="18"/>
                <w:szCs w:val="18"/>
              </w:rPr>
            </w:pPr>
            <w:r>
              <w:rPr>
                <w:rFonts w:ascii="Arial" w:hAnsi="Arial" w:cs="Arial"/>
                <w:sz w:val="18"/>
                <w:szCs w:val="18"/>
              </w:rPr>
              <w:tab/>
              <w:t>N/A</w:t>
            </w:r>
            <w:r>
              <w:rPr>
                <w:rFonts w:ascii="Arial" w:hAnsi="Arial" w:cs="Arial"/>
                <w:sz w:val="18"/>
                <w:szCs w:val="18"/>
              </w:rPr>
              <w:tab/>
            </w:r>
          </w:p>
        </w:tc>
        <w:tc>
          <w:tcPr>
            <w:tcW w:w="2784" w:type="dxa"/>
            <w:tcBorders>
              <w:bottom w:val="single" w:sz="6" w:space="0" w:color="0075C9"/>
            </w:tcBorders>
            <w:noWrap/>
            <w:tcMar>
              <w:top w:w="0" w:type="dxa"/>
              <w:left w:w="144" w:type="dxa"/>
              <w:bottom w:w="0" w:type="dxa"/>
              <w:right w:w="0" w:type="dxa"/>
            </w:tcMar>
            <w:vAlign w:val="bottom"/>
            <w:hideMark/>
          </w:tcPr>
          <w:p w14:paraId="48E2EC3B" w14:textId="77777777" w:rsidR="00D246A9" w:rsidRDefault="00D246A9">
            <w:pPr>
              <w:pStyle w:val="NormalWeb"/>
              <w:tabs>
                <w:tab w:val="right" w:pos="2600"/>
                <w:tab w:val="decimal" w:pos="26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D246A9" w14:paraId="3C96AAAA" w14:textId="77777777" w:rsidTr="00FE0A0A">
        <w:trPr>
          <w:cantSplit/>
        </w:trPr>
        <w:tc>
          <w:tcPr>
            <w:tcW w:w="3468" w:type="dxa"/>
            <w:tcBorders>
              <w:bottom w:val="single" w:sz="6" w:space="0" w:color="0075C9"/>
            </w:tcBorders>
            <w:tcMar>
              <w:top w:w="0" w:type="dxa"/>
              <w:left w:w="0" w:type="dxa"/>
              <w:bottom w:w="40" w:type="dxa"/>
              <w:right w:w="0" w:type="dxa"/>
            </w:tcMar>
            <w:hideMark/>
          </w:tcPr>
          <w:p w14:paraId="7DE64EF7"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Total</w:t>
            </w:r>
          </w:p>
        </w:tc>
        <w:tc>
          <w:tcPr>
            <w:tcW w:w="2384" w:type="dxa"/>
            <w:tcBorders>
              <w:bottom w:val="single" w:sz="6" w:space="0" w:color="0075C9"/>
            </w:tcBorders>
            <w:noWrap/>
            <w:tcMar>
              <w:top w:w="0" w:type="dxa"/>
              <w:left w:w="144" w:type="dxa"/>
              <w:bottom w:w="0" w:type="dxa"/>
              <w:right w:w="0" w:type="dxa"/>
            </w:tcMar>
            <w:vAlign w:val="bottom"/>
            <w:hideMark/>
          </w:tcPr>
          <w:p w14:paraId="07705E22" w14:textId="77777777" w:rsidR="00D246A9" w:rsidRDefault="00D246A9">
            <w:pPr>
              <w:pStyle w:val="NormalWeb"/>
              <w:tabs>
                <w:tab w:val="right" w:pos="2200"/>
                <w:tab w:val="decimal" w:pos="2240"/>
              </w:tabs>
              <w:spacing w:before="0" w:beforeAutospacing="0" w:after="20" w:afterAutospacing="0"/>
              <w:rPr>
                <w:rFonts w:ascii="Arial" w:hAnsi="Arial" w:cs="Arial"/>
                <w:sz w:val="18"/>
                <w:szCs w:val="18"/>
              </w:rPr>
            </w:pPr>
            <w:r>
              <w:rPr>
                <w:rFonts w:ascii="Arial" w:hAnsi="Arial" w:cs="Arial"/>
                <w:sz w:val="18"/>
                <w:szCs w:val="18"/>
              </w:rPr>
              <w:tab/>
              <w:t>96,357,022</w:t>
            </w:r>
            <w:r>
              <w:rPr>
                <w:rFonts w:ascii="Arial" w:hAnsi="Arial" w:cs="Arial"/>
                <w:sz w:val="18"/>
                <w:szCs w:val="18"/>
              </w:rPr>
              <w:tab/>
            </w:r>
          </w:p>
        </w:tc>
        <w:tc>
          <w:tcPr>
            <w:tcW w:w="2164" w:type="dxa"/>
            <w:tcBorders>
              <w:bottom w:val="single" w:sz="6" w:space="0" w:color="0075C9"/>
            </w:tcBorders>
            <w:noWrap/>
            <w:tcMar>
              <w:top w:w="0" w:type="dxa"/>
              <w:left w:w="144" w:type="dxa"/>
              <w:bottom w:w="0" w:type="dxa"/>
              <w:right w:w="0" w:type="dxa"/>
            </w:tcMar>
            <w:vAlign w:val="bottom"/>
            <w:hideMark/>
          </w:tcPr>
          <w:p w14:paraId="7CD7F053" w14:textId="77777777" w:rsidR="00D246A9" w:rsidRDefault="00D246A9">
            <w:pPr>
              <w:pStyle w:val="NormalWeb"/>
              <w:tabs>
                <w:tab w:val="right" w:pos="1980"/>
                <w:tab w:val="decimal" w:pos="2020"/>
              </w:tabs>
              <w:spacing w:before="0" w:beforeAutospacing="0" w:after="20" w:afterAutospacing="0"/>
              <w:rPr>
                <w:rFonts w:ascii="Arial" w:hAnsi="Arial" w:cs="Arial"/>
                <w:sz w:val="18"/>
                <w:szCs w:val="18"/>
              </w:rPr>
            </w:pPr>
            <w:r>
              <w:rPr>
                <w:rFonts w:ascii="Arial" w:hAnsi="Arial" w:cs="Arial"/>
                <w:sz w:val="18"/>
                <w:szCs w:val="18"/>
              </w:rPr>
              <w:tab/>
              <w:t>38.53</w:t>
            </w:r>
            <w:r>
              <w:rPr>
                <w:rFonts w:ascii="Arial" w:hAnsi="Arial" w:cs="Arial"/>
                <w:sz w:val="18"/>
                <w:szCs w:val="18"/>
              </w:rPr>
              <w:tab/>
            </w:r>
          </w:p>
        </w:tc>
        <w:tc>
          <w:tcPr>
            <w:tcW w:w="2784" w:type="dxa"/>
            <w:tcBorders>
              <w:bottom w:val="single" w:sz="6" w:space="0" w:color="0075C9"/>
            </w:tcBorders>
            <w:noWrap/>
            <w:tcMar>
              <w:top w:w="0" w:type="dxa"/>
              <w:left w:w="144" w:type="dxa"/>
              <w:bottom w:w="0" w:type="dxa"/>
              <w:right w:w="0" w:type="dxa"/>
            </w:tcMar>
            <w:vAlign w:val="bottom"/>
            <w:hideMark/>
          </w:tcPr>
          <w:p w14:paraId="032BA647" w14:textId="77777777" w:rsidR="00D246A9" w:rsidRDefault="00D246A9">
            <w:pPr>
              <w:pStyle w:val="NormalWeb"/>
              <w:tabs>
                <w:tab w:val="right" w:pos="2600"/>
                <w:tab w:val="decimal" w:pos="2640"/>
              </w:tabs>
              <w:spacing w:before="0" w:beforeAutospacing="0" w:after="20" w:afterAutospacing="0"/>
              <w:rPr>
                <w:rFonts w:ascii="Arial" w:hAnsi="Arial" w:cs="Arial"/>
                <w:sz w:val="18"/>
                <w:szCs w:val="18"/>
              </w:rPr>
            </w:pPr>
            <w:r>
              <w:rPr>
                <w:rFonts w:ascii="Arial" w:hAnsi="Arial" w:cs="Arial"/>
                <w:sz w:val="18"/>
                <w:szCs w:val="18"/>
              </w:rPr>
              <w:tab/>
              <w:t>238,330,145</w:t>
            </w:r>
            <w:r>
              <w:rPr>
                <w:rFonts w:ascii="Arial" w:hAnsi="Arial" w:cs="Arial"/>
                <w:sz w:val="18"/>
                <w:szCs w:val="18"/>
              </w:rPr>
              <w:tab/>
            </w:r>
          </w:p>
        </w:tc>
      </w:tr>
    </w:tbl>
    <w:p w14:paraId="7B1E106D"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Represents shares issuable upon vesting of outstanding SAs granted under the 2017 and 2001 Stock Plans and PSAs for which there is a grant date under FASB ASC Topic 718, which assume target performance; includes shares under PSAs and options granted under our plans in connection with acquisitions. </w:t>
      </w:r>
    </w:p>
    <w:p w14:paraId="4B69202E"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weighted average exercise price does not </w:t>
      </w:r>
      <w:proofErr w:type="gramStart"/>
      <w:r>
        <w:rPr>
          <w:rFonts w:ascii="Arial" w:hAnsi="Arial" w:cs="Arial"/>
          <w:sz w:val="14"/>
          <w:szCs w:val="14"/>
        </w:rPr>
        <w:t>take into account</w:t>
      </w:r>
      <w:proofErr w:type="gramEnd"/>
      <w:r>
        <w:rPr>
          <w:rFonts w:ascii="Arial" w:hAnsi="Arial" w:cs="Arial"/>
          <w:sz w:val="14"/>
          <w:szCs w:val="14"/>
        </w:rPr>
        <w:t xml:space="preserve"> the shares issuable upon vesting of outstanding stock awards, which have no exercise price. </w:t>
      </w:r>
    </w:p>
    <w:p w14:paraId="1B0464D9"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Includes 73,625,633 shares remaining available for issuance as of June 30, 2023 under the Employee Stock Purchase Plan, after the exercise of purchase rights on that date. </w:t>
      </w:r>
    </w:p>
    <w:p w14:paraId="129D8E09" w14:textId="77777777" w:rsidR="00D246A9" w:rsidRDefault="00D246A9">
      <w:pPr>
        <w:pStyle w:val="NormalWeb"/>
        <w:keepNext/>
        <w:spacing w:before="0" w:beforeAutospacing="0" w:after="0" w:afterAutospacing="0"/>
        <w:rPr>
          <w:sz w:val="36"/>
          <w:szCs w:val="36"/>
        </w:rPr>
      </w:pPr>
      <w:r>
        <w:rPr>
          <w:sz w:val="36"/>
          <w:szCs w:val="36"/>
        </w:rPr>
        <w:t> </w:t>
      </w:r>
    </w:p>
    <w:p w14:paraId="415EA166" w14:textId="77777777" w:rsidR="00D246A9" w:rsidRDefault="00D246A9">
      <w:pPr>
        <w:pStyle w:val="rrdsinglerule"/>
        <w:pBdr>
          <w:top w:val="single" w:sz="6" w:space="0" w:color="0075C9"/>
        </w:pBdr>
        <w:spacing w:before="120"/>
        <w:rPr>
          <w:sz w:val="24"/>
          <w:szCs w:val="24"/>
        </w:rPr>
      </w:pPr>
      <w:r>
        <w:t xml:space="preserve">  </w:t>
      </w:r>
    </w:p>
    <w:p w14:paraId="66628D62" w14:textId="77777777" w:rsidR="00D246A9" w:rsidRDefault="00D246A9" w:rsidP="00B4165A">
      <w:pPr>
        <w:pStyle w:val="Heading3"/>
      </w:pPr>
      <w:bookmarkStart w:id="25" w:name="toc356108_26"/>
      <w:bookmarkEnd w:id="25"/>
      <w:r>
        <w:t xml:space="preserve">Principal Shareholders </w:t>
      </w:r>
    </w:p>
    <w:p w14:paraId="6DD6E5CE"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table lists all entities that are the beneficial owner of more than 5% of Microsoft common stock. </w:t>
      </w:r>
    </w:p>
    <w:p w14:paraId="683AFDAE"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652"/>
        <w:gridCol w:w="3384"/>
        <w:gridCol w:w="2764"/>
      </w:tblGrid>
      <w:tr w:rsidR="00D246A9" w14:paraId="12F47300" w14:textId="77777777" w:rsidTr="00FE0A0A">
        <w:trPr>
          <w:cantSplit/>
          <w:tblHeader/>
        </w:trPr>
        <w:tc>
          <w:tcPr>
            <w:tcW w:w="4652" w:type="dxa"/>
            <w:tcBorders>
              <w:bottom w:val="single" w:sz="8" w:space="0" w:color="000000"/>
            </w:tcBorders>
            <w:tcMar>
              <w:top w:w="0" w:type="dxa"/>
              <w:left w:w="0" w:type="dxa"/>
              <w:bottom w:w="40" w:type="dxa"/>
              <w:right w:w="0" w:type="dxa"/>
            </w:tcMar>
            <w:vAlign w:val="bottom"/>
            <w:hideMark/>
          </w:tcPr>
          <w:p w14:paraId="7000CCEB"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w:t>
            </w:r>
          </w:p>
        </w:tc>
        <w:tc>
          <w:tcPr>
            <w:tcW w:w="3384" w:type="dxa"/>
            <w:tcBorders>
              <w:bottom w:val="single" w:sz="8" w:space="0" w:color="000000"/>
            </w:tcBorders>
            <w:tcMar>
              <w:top w:w="0" w:type="dxa"/>
              <w:left w:w="144" w:type="dxa"/>
              <w:bottom w:w="0" w:type="dxa"/>
              <w:right w:w="0" w:type="dxa"/>
            </w:tcMar>
            <w:vAlign w:val="bottom"/>
            <w:hideMark/>
          </w:tcPr>
          <w:p w14:paraId="69C25931"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Amount and</w:t>
            </w:r>
          </w:p>
          <w:p w14:paraId="5FE49686"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Nature of Beneficial</w:t>
            </w:r>
          </w:p>
          <w:p w14:paraId="5F6F77D5"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Ownership as of 09/29/2023</w:t>
            </w:r>
          </w:p>
        </w:tc>
        <w:tc>
          <w:tcPr>
            <w:tcW w:w="2764" w:type="dxa"/>
            <w:tcBorders>
              <w:bottom w:val="single" w:sz="8" w:space="0" w:color="000000"/>
            </w:tcBorders>
            <w:tcMar>
              <w:top w:w="0" w:type="dxa"/>
              <w:left w:w="144" w:type="dxa"/>
              <w:bottom w:w="0" w:type="dxa"/>
              <w:right w:w="0" w:type="dxa"/>
            </w:tcMar>
            <w:vAlign w:val="bottom"/>
            <w:hideMark/>
          </w:tcPr>
          <w:p w14:paraId="52550876"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Percent of</w:t>
            </w:r>
          </w:p>
          <w:p w14:paraId="233267CB"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Class to be Voted</w:t>
            </w:r>
          </w:p>
          <w:p w14:paraId="5FC490D0"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During the Meeting</w:t>
            </w:r>
          </w:p>
        </w:tc>
      </w:tr>
      <w:tr w:rsidR="00D246A9" w14:paraId="4658F2AA" w14:textId="77777777" w:rsidTr="00FE0A0A">
        <w:trPr>
          <w:cantSplit/>
        </w:trPr>
        <w:tc>
          <w:tcPr>
            <w:tcW w:w="4652" w:type="dxa"/>
            <w:tcBorders>
              <w:bottom w:val="single" w:sz="6" w:space="0" w:color="0075C9"/>
            </w:tcBorders>
            <w:tcMar>
              <w:top w:w="0" w:type="dxa"/>
              <w:left w:w="0" w:type="dxa"/>
              <w:bottom w:w="40" w:type="dxa"/>
              <w:right w:w="0" w:type="dxa"/>
            </w:tcMar>
            <w:hideMark/>
          </w:tcPr>
          <w:p w14:paraId="4114C546"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The Vanguard Group, Inc.</w:t>
            </w:r>
          </w:p>
          <w:p w14:paraId="54E0F634" w14:textId="77777777" w:rsidR="00D246A9" w:rsidRDefault="00D246A9">
            <w:pPr>
              <w:pStyle w:val="NormalWeb"/>
              <w:spacing w:before="0" w:beforeAutospacing="0" w:after="20" w:afterAutospacing="0"/>
              <w:ind w:left="346" w:hanging="240"/>
              <w:rPr>
                <w:rFonts w:ascii="Arial" w:hAnsi="Arial" w:cs="Arial"/>
                <w:sz w:val="18"/>
                <w:szCs w:val="18"/>
              </w:rPr>
            </w:pPr>
            <w:r>
              <w:rPr>
                <w:rFonts w:ascii="Arial" w:hAnsi="Arial" w:cs="Arial"/>
                <w:sz w:val="18"/>
                <w:szCs w:val="18"/>
              </w:rPr>
              <w:t>100 Vanguard Blvd., Malvern, PA 19355</w:t>
            </w:r>
          </w:p>
        </w:tc>
        <w:tc>
          <w:tcPr>
            <w:tcW w:w="3384" w:type="dxa"/>
            <w:tcBorders>
              <w:bottom w:val="single" w:sz="6" w:space="0" w:color="0075C9"/>
            </w:tcBorders>
            <w:noWrap/>
            <w:tcMar>
              <w:top w:w="0" w:type="dxa"/>
              <w:left w:w="144" w:type="dxa"/>
              <w:bottom w:w="0" w:type="dxa"/>
              <w:right w:w="0" w:type="dxa"/>
            </w:tcMar>
            <w:vAlign w:val="bottom"/>
            <w:hideMark/>
          </w:tcPr>
          <w:p w14:paraId="555218AF" w14:textId="77777777" w:rsidR="00D246A9" w:rsidRDefault="00D246A9">
            <w:pPr>
              <w:pStyle w:val="NormalWeb"/>
              <w:tabs>
                <w:tab w:val="right" w:pos="3200"/>
                <w:tab w:val="decimal" w:pos="3240"/>
              </w:tabs>
              <w:spacing w:before="0" w:beforeAutospacing="0" w:after="20" w:afterAutospacing="0"/>
              <w:rPr>
                <w:rFonts w:ascii="Arial" w:hAnsi="Arial" w:cs="Arial"/>
                <w:sz w:val="18"/>
                <w:szCs w:val="18"/>
              </w:rPr>
            </w:pPr>
            <w:r>
              <w:rPr>
                <w:rFonts w:ascii="Arial" w:hAnsi="Arial" w:cs="Arial"/>
                <w:sz w:val="18"/>
                <w:szCs w:val="18"/>
              </w:rPr>
              <w:tab/>
              <w:t>642,664,898¹</w:t>
            </w:r>
            <w:r>
              <w:rPr>
                <w:rFonts w:ascii="Arial" w:hAnsi="Arial" w:cs="Arial"/>
                <w:sz w:val="18"/>
                <w:szCs w:val="18"/>
              </w:rPr>
              <w:tab/>
            </w:r>
          </w:p>
        </w:tc>
        <w:tc>
          <w:tcPr>
            <w:tcW w:w="2764" w:type="dxa"/>
            <w:tcBorders>
              <w:bottom w:val="single" w:sz="6" w:space="0" w:color="0075C9"/>
            </w:tcBorders>
            <w:noWrap/>
            <w:tcMar>
              <w:top w:w="0" w:type="dxa"/>
              <w:left w:w="144" w:type="dxa"/>
              <w:bottom w:w="0" w:type="dxa"/>
              <w:right w:w="0" w:type="dxa"/>
            </w:tcMar>
            <w:vAlign w:val="bottom"/>
            <w:hideMark/>
          </w:tcPr>
          <w:p w14:paraId="4989CBB6" w14:textId="77777777" w:rsidR="00D246A9" w:rsidRDefault="00D246A9">
            <w:pPr>
              <w:pStyle w:val="NormalWeb"/>
              <w:tabs>
                <w:tab w:val="right" w:pos="2580"/>
                <w:tab w:val="decimal" w:pos="2620"/>
              </w:tabs>
              <w:spacing w:before="0" w:beforeAutospacing="0" w:after="20" w:afterAutospacing="0"/>
              <w:rPr>
                <w:rFonts w:ascii="Arial" w:hAnsi="Arial" w:cs="Arial"/>
                <w:sz w:val="18"/>
                <w:szCs w:val="18"/>
              </w:rPr>
            </w:pPr>
            <w:r>
              <w:rPr>
                <w:rFonts w:ascii="Arial" w:hAnsi="Arial" w:cs="Arial"/>
                <w:sz w:val="18"/>
                <w:szCs w:val="18"/>
              </w:rPr>
              <w:tab/>
              <w:t>8.62%</w:t>
            </w:r>
            <w:r>
              <w:rPr>
                <w:rFonts w:ascii="Arial" w:hAnsi="Arial" w:cs="Arial"/>
                <w:sz w:val="18"/>
                <w:szCs w:val="18"/>
              </w:rPr>
              <w:tab/>
            </w:r>
          </w:p>
        </w:tc>
      </w:tr>
      <w:tr w:rsidR="00D246A9" w14:paraId="7F470B89" w14:textId="77777777" w:rsidTr="00FE0A0A">
        <w:trPr>
          <w:cantSplit/>
        </w:trPr>
        <w:tc>
          <w:tcPr>
            <w:tcW w:w="4652" w:type="dxa"/>
            <w:tcBorders>
              <w:bottom w:val="single" w:sz="6" w:space="0" w:color="0075C9"/>
            </w:tcBorders>
            <w:tcMar>
              <w:top w:w="0" w:type="dxa"/>
              <w:left w:w="0" w:type="dxa"/>
              <w:bottom w:w="40" w:type="dxa"/>
              <w:right w:w="0" w:type="dxa"/>
            </w:tcMar>
            <w:hideMark/>
          </w:tcPr>
          <w:p w14:paraId="61F30637"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BlackRock, Inc.</w:t>
            </w:r>
          </w:p>
          <w:p w14:paraId="434246DE" w14:textId="77777777" w:rsidR="00D246A9" w:rsidRDefault="00D246A9">
            <w:pPr>
              <w:pStyle w:val="NormalWeb"/>
              <w:spacing w:before="0" w:beforeAutospacing="0" w:after="20" w:afterAutospacing="0"/>
              <w:ind w:left="346" w:hanging="240"/>
              <w:rPr>
                <w:rFonts w:ascii="Arial" w:hAnsi="Arial" w:cs="Arial"/>
                <w:sz w:val="18"/>
                <w:szCs w:val="18"/>
              </w:rPr>
            </w:pPr>
            <w:r>
              <w:rPr>
                <w:rFonts w:ascii="Arial" w:hAnsi="Arial" w:cs="Arial"/>
                <w:sz w:val="18"/>
                <w:szCs w:val="18"/>
              </w:rPr>
              <w:t>55 East 52</w:t>
            </w:r>
            <w:r>
              <w:rPr>
                <w:rFonts w:ascii="Arial" w:hAnsi="Arial" w:cs="Arial"/>
                <w:sz w:val="14"/>
                <w:szCs w:val="14"/>
                <w:vertAlign w:val="superscript"/>
              </w:rPr>
              <w:t>nd</w:t>
            </w:r>
            <w:r>
              <w:rPr>
                <w:rFonts w:ascii="Arial" w:hAnsi="Arial" w:cs="Arial"/>
                <w:sz w:val="18"/>
                <w:szCs w:val="18"/>
              </w:rPr>
              <w:t xml:space="preserve"> Street, New York, NY 10055</w:t>
            </w:r>
          </w:p>
        </w:tc>
        <w:tc>
          <w:tcPr>
            <w:tcW w:w="3384" w:type="dxa"/>
            <w:tcBorders>
              <w:bottom w:val="single" w:sz="6" w:space="0" w:color="0075C9"/>
            </w:tcBorders>
            <w:noWrap/>
            <w:tcMar>
              <w:top w:w="0" w:type="dxa"/>
              <w:left w:w="144" w:type="dxa"/>
              <w:bottom w:w="0" w:type="dxa"/>
              <w:right w:w="0" w:type="dxa"/>
            </w:tcMar>
            <w:vAlign w:val="bottom"/>
            <w:hideMark/>
          </w:tcPr>
          <w:p w14:paraId="60A59926" w14:textId="77777777" w:rsidR="00D246A9" w:rsidRDefault="00D246A9">
            <w:pPr>
              <w:pStyle w:val="NormalWeb"/>
              <w:tabs>
                <w:tab w:val="right" w:pos="3200"/>
                <w:tab w:val="decimal" w:pos="3240"/>
              </w:tabs>
              <w:spacing w:before="0" w:beforeAutospacing="0" w:after="20" w:afterAutospacing="0"/>
              <w:rPr>
                <w:rFonts w:ascii="Arial" w:hAnsi="Arial" w:cs="Arial"/>
                <w:sz w:val="18"/>
                <w:szCs w:val="18"/>
              </w:rPr>
            </w:pPr>
            <w:r>
              <w:rPr>
                <w:rFonts w:ascii="Arial" w:hAnsi="Arial" w:cs="Arial"/>
                <w:sz w:val="18"/>
                <w:szCs w:val="18"/>
              </w:rPr>
              <w:tab/>
              <w:t>532,084,843²</w:t>
            </w:r>
            <w:r>
              <w:rPr>
                <w:rFonts w:ascii="Arial" w:hAnsi="Arial" w:cs="Arial"/>
                <w:sz w:val="18"/>
                <w:szCs w:val="18"/>
              </w:rPr>
              <w:tab/>
            </w:r>
          </w:p>
        </w:tc>
        <w:tc>
          <w:tcPr>
            <w:tcW w:w="2764" w:type="dxa"/>
            <w:tcBorders>
              <w:bottom w:val="single" w:sz="6" w:space="0" w:color="0075C9"/>
            </w:tcBorders>
            <w:noWrap/>
            <w:tcMar>
              <w:top w:w="0" w:type="dxa"/>
              <w:left w:w="144" w:type="dxa"/>
              <w:bottom w:w="0" w:type="dxa"/>
              <w:right w:w="0" w:type="dxa"/>
            </w:tcMar>
            <w:vAlign w:val="bottom"/>
            <w:hideMark/>
          </w:tcPr>
          <w:p w14:paraId="4BF1333A" w14:textId="77777777" w:rsidR="00D246A9" w:rsidRDefault="00D246A9">
            <w:pPr>
              <w:pStyle w:val="NormalWeb"/>
              <w:tabs>
                <w:tab w:val="right" w:pos="2580"/>
                <w:tab w:val="decimal" w:pos="2620"/>
              </w:tabs>
              <w:spacing w:before="0" w:beforeAutospacing="0" w:after="20" w:afterAutospacing="0"/>
              <w:rPr>
                <w:rFonts w:ascii="Arial" w:hAnsi="Arial" w:cs="Arial"/>
                <w:sz w:val="18"/>
                <w:szCs w:val="18"/>
              </w:rPr>
            </w:pPr>
            <w:r>
              <w:rPr>
                <w:rFonts w:ascii="Arial" w:hAnsi="Arial" w:cs="Arial"/>
                <w:sz w:val="18"/>
                <w:szCs w:val="18"/>
              </w:rPr>
              <w:tab/>
              <w:t>7.10%</w:t>
            </w:r>
            <w:r>
              <w:rPr>
                <w:rFonts w:ascii="Arial" w:hAnsi="Arial" w:cs="Arial"/>
                <w:sz w:val="18"/>
                <w:szCs w:val="18"/>
              </w:rPr>
              <w:tab/>
            </w:r>
          </w:p>
        </w:tc>
      </w:tr>
    </w:tbl>
    <w:p w14:paraId="6392944F"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All information about The Vanguard Group, Inc. is based on a Schedule 13G/A filed with the SEC on February 9, 2023. The Vanguard Group, Inc. reported that it has no sole voting power with respect to shares of common stock, sole dispositive power with respect to 611,594,390 shares of common stock, shared voting power of 10,956,207 shares of common stock, and shared dispositive power of 31,070,508 shares of common stock. </w:t>
      </w:r>
    </w:p>
    <w:p w14:paraId="09507930"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All information about BlackRock, Inc. is based on a Schedule 13G/A filed with the SEC on January 31, 2023. BlackRock, Inc. reported that it has sole voting power with respect to 476,570,643 shares of common stock, sole dispositive power with respect to 532,084,843 shares of common stock, and no shared voting or shared dispositive power. </w:t>
      </w:r>
    </w:p>
    <w:p w14:paraId="6F45DBC9" w14:textId="77777777" w:rsidR="00D246A9" w:rsidRDefault="00D246A9">
      <w:pPr>
        <w:pStyle w:val="NormalWeb"/>
        <w:spacing w:before="360" w:beforeAutospacing="0" w:after="0" w:afterAutospacing="0"/>
        <w:rPr>
          <w:sz w:val="2"/>
          <w:szCs w:val="2"/>
        </w:rPr>
      </w:pPr>
      <w:r>
        <w:rPr>
          <w:sz w:val="2"/>
          <w:szCs w:val="2"/>
        </w:rPr>
        <w:t> </w:t>
      </w:r>
    </w:p>
    <w:p w14:paraId="660D9472" w14:textId="77777777" w:rsidR="00D246A9" w:rsidRDefault="00D246A9" w:rsidP="00D87FF2">
      <w:pPr>
        <w:pStyle w:val="rrdsinglerule"/>
        <w:pageBreakBefore/>
        <w:pBdr>
          <w:top w:val="single" w:sz="6" w:space="0" w:color="0075C9"/>
        </w:pBdr>
        <w:spacing w:before="0"/>
        <w:rPr>
          <w:sz w:val="24"/>
          <w:szCs w:val="24"/>
        </w:rPr>
      </w:pPr>
      <w:r>
        <w:lastRenderedPageBreak/>
        <w:t> </w:t>
      </w:r>
    </w:p>
    <w:p w14:paraId="3204BEF1" w14:textId="77777777" w:rsidR="00D246A9" w:rsidRDefault="00D246A9" w:rsidP="00B4165A">
      <w:pPr>
        <w:pStyle w:val="Heading3"/>
      </w:pPr>
      <w:bookmarkStart w:id="26" w:name="toc356108_27"/>
      <w:bookmarkEnd w:id="26"/>
      <w:r>
        <w:t xml:space="preserve">Stock Ownership Information </w:t>
      </w:r>
    </w:p>
    <w:p w14:paraId="7B1E021B" w14:textId="77777777" w:rsidR="00D246A9" w:rsidRDefault="00D246A9" w:rsidP="00D87FF2">
      <w:pPr>
        <w:pStyle w:val="NormalWeb"/>
        <w:spacing w:before="80" w:beforeAutospacing="0" w:after="0" w:afterAutospacing="0"/>
        <w:rPr>
          <w:rFonts w:ascii="Arial" w:hAnsi="Arial" w:cs="Arial"/>
          <w:sz w:val="18"/>
          <w:szCs w:val="18"/>
        </w:rPr>
      </w:pPr>
      <w:r>
        <w:rPr>
          <w:rFonts w:ascii="Arial" w:hAnsi="Arial" w:cs="Arial"/>
          <w:sz w:val="18"/>
          <w:szCs w:val="18"/>
        </w:rPr>
        <w:t xml:space="preserve">As of September 29, 2023, this table describes the number of shares of our common stock beneficially owned by each director, director nominee, Named Executive, and all directors and executive officers as a group, together with additional underlying shares or stock units as described in Notes 2 through 4 to the table. </w:t>
      </w:r>
    </w:p>
    <w:p w14:paraId="4943CEDA" w14:textId="77777777" w:rsidR="00D246A9" w:rsidRDefault="00D246A9" w:rsidP="00D87FF2">
      <w:pPr>
        <w:pStyle w:val="NormalWeb"/>
        <w:keepNext/>
        <w:spacing w:before="80" w:beforeAutospacing="0" w:after="0" w:afterAutospacing="0"/>
        <w:rPr>
          <w:rFonts w:ascii="Arial" w:hAnsi="Arial" w:cs="Arial"/>
          <w:sz w:val="18"/>
          <w:szCs w:val="18"/>
        </w:rPr>
      </w:pPr>
      <w:r>
        <w:rPr>
          <w:rFonts w:ascii="Arial" w:hAnsi="Arial" w:cs="Arial"/>
          <w:sz w:val="18"/>
          <w:szCs w:val="18"/>
        </w:rPr>
        <w:t xml:space="preserve">In computing the number and percentage of shares beneficially owned by each person under the Common Stock column below, we have included any shares of our common stock that could be acquired within 60 days of September 29, 2023, by exercising options, vesting SAs, or receiving shares credited under the Deferred Compensation Plan for Non-Employee Directors. These shares, however, are not counted in computing the percentage ownership of any other person. </w:t>
      </w:r>
    </w:p>
    <w:p w14:paraId="49636393" w14:textId="77777777" w:rsidR="00D246A9" w:rsidRDefault="00D246A9" w:rsidP="00D87FF2">
      <w:pPr>
        <w:pStyle w:val="NormalWeb"/>
        <w:keepNext/>
        <w:spacing w:before="0" w:beforeAutospacing="0" w:after="0" w:afterAutospacing="0"/>
        <w:rPr>
          <w:sz w:val="12"/>
          <w:szCs w:val="12"/>
        </w:rPr>
      </w:pPr>
      <w:r>
        <w:rPr>
          <w:sz w:val="12"/>
          <w:szCs w:val="12"/>
        </w:rPr>
        <w:t> </w:t>
      </w:r>
    </w:p>
    <w:tbl>
      <w:tblPr>
        <w:tblW w:w="0" w:type="auto"/>
        <w:tblLayout w:type="fixed"/>
        <w:tblCellMar>
          <w:left w:w="0" w:type="dxa"/>
          <w:right w:w="0" w:type="dxa"/>
        </w:tblCellMar>
        <w:tblLook w:val="04A0" w:firstRow="1" w:lastRow="0" w:firstColumn="1" w:lastColumn="0" w:noHBand="0" w:noVBand="1"/>
      </w:tblPr>
      <w:tblGrid>
        <w:gridCol w:w="5267"/>
        <w:gridCol w:w="1205"/>
        <w:gridCol w:w="1344"/>
        <w:gridCol w:w="1924"/>
        <w:gridCol w:w="1060"/>
      </w:tblGrid>
      <w:tr w:rsidR="006B4A60" w14:paraId="4DD534DD" w14:textId="77777777" w:rsidTr="00C82614">
        <w:trPr>
          <w:cantSplit/>
          <w:tblHeader/>
        </w:trPr>
        <w:tc>
          <w:tcPr>
            <w:tcW w:w="10800" w:type="dxa"/>
            <w:gridSpan w:val="5"/>
            <w:tcBorders>
              <w:bottom w:val="single" w:sz="6" w:space="0" w:color="000000"/>
            </w:tcBorders>
            <w:tcMar>
              <w:top w:w="0" w:type="dxa"/>
              <w:left w:w="0" w:type="dxa"/>
              <w:bottom w:w="40" w:type="dxa"/>
              <w:right w:w="0" w:type="dxa"/>
            </w:tcMar>
            <w:vAlign w:val="bottom"/>
            <w:hideMark/>
          </w:tcPr>
          <w:p w14:paraId="1BBA1C1D" w14:textId="0679ECDF" w:rsidR="006B4A60" w:rsidRDefault="006B4A60" w:rsidP="006B4A60">
            <w:pPr>
              <w:pStyle w:val="NormalWeb"/>
              <w:keepNext/>
              <w:spacing w:before="0" w:beforeAutospacing="0" w:after="20" w:afterAutospacing="0"/>
              <w:ind w:firstLine="106"/>
              <w:rPr>
                <w:rFonts w:ascii="Arial" w:hAnsi="Arial" w:cs="Arial"/>
                <w:sz w:val="4"/>
                <w:szCs w:val="4"/>
              </w:rPr>
            </w:pPr>
            <w:r>
              <w:rPr>
                <w:rFonts w:ascii="Arial" w:hAnsi="Arial" w:cs="Arial"/>
                <w:b/>
                <w:bCs/>
                <w:sz w:val="18"/>
                <w:szCs w:val="18"/>
              </w:rPr>
              <w:t>Beneficial Ownership</w:t>
            </w:r>
          </w:p>
        </w:tc>
      </w:tr>
      <w:tr w:rsidR="00D246A9" w14:paraId="2D50F4D4" w14:textId="77777777" w:rsidTr="00FE0A0A">
        <w:trPr>
          <w:cantSplit/>
          <w:tblHeader/>
        </w:trPr>
        <w:tc>
          <w:tcPr>
            <w:tcW w:w="5267" w:type="dxa"/>
            <w:tcBorders>
              <w:bottom w:val="single" w:sz="8" w:space="0" w:color="000000"/>
            </w:tcBorders>
            <w:tcMar>
              <w:top w:w="0" w:type="dxa"/>
              <w:left w:w="0" w:type="dxa"/>
              <w:bottom w:w="40" w:type="dxa"/>
              <w:right w:w="0" w:type="dxa"/>
            </w:tcMar>
            <w:vAlign w:val="bottom"/>
            <w:hideMark/>
          </w:tcPr>
          <w:p w14:paraId="0759E232" w14:textId="77777777" w:rsidR="00D246A9"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w:t>
            </w:r>
          </w:p>
        </w:tc>
        <w:tc>
          <w:tcPr>
            <w:tcW w:w="1205" w:type="dxa"/>
            <w:tcBorders>
              <w:bottom w:val="single" w:sz="8" w:space="0" w:color="000000"/>
            </w:tcBorders>
            <w:tcMar>
              <w:top w:w="0" w:type="dxa"/>
              <w:left w:w="144" w:type="dxa"/>
              <w:bottom w:w="0" w:type="dxa"/>
              <w:right w:w="0" w:type="dxa"/>
            </w:tcMar>
            <w:vAlign w:val="bottom"/>
            <w:hideMark/>
          </w:tcPr>
          <w:p w14:paraId="1E475ED3"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Common</w:t>
            </w:r>
          </w:p>
          <w:p w14:paraId="330D8325"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Stock</w:t>
            </w:r>
            <w:r>
              <w:rPr>
                <w:rFonts w:ascii="Arial" w:hAnsi="Arial" w:cs="Arial"/>
                <w:b/>
                <w:bCs/>
                <w:sz w:val="14"/>
                <w:szCs w:val="14"/>
                <w:vertAlign w:val="superscript"/>
              </w:rPr>
              <w:t>1,2</w:t>
            </w:r>
          </w:p>
        </w:tc>
        <w:tc>
          <w:tcPr>
            <w:tcW w:w="1344" w:type="dxa"/>
            <w:tcBorders>
              <w:bottom w:val="single" w:sz="8" w:space="0" w:color="000000"/>
            </w:tcBorders>
            <w:tcMar>
              <w:top w:w="0" w:type="dxa"/>
              <w:left w:w="144" w:type="dxa"/>
              <w:bottom w:w="0" w:type="dxa"/>
              <w:right w:w="0" w:type="dxa"/>
            </w:tcMar>
            <w:vAlign w:val="bottom"/>
            <w:hideMark/>
          </w:tcPr>
          <w:p w14:paraId="286CE8A7"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Percent of</w:t>
            </w:r>
          </w:p>
          <w:p w14:paraId="752609B5"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Common</w:t>
            </w:r>
          </w:p>
          <w:p w14:paraId="4F4F6A0D"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Stock</w:t>
            </w:r>
          </w:p>
        </w:tc>
        <w:tc>
          <w:tcPr>
            <w:tcW w:w="1924" w:type="dxa"/>
            <w:tcBorders>
              <w:bottom w:val="single" w:sz="8" w:space="0" w:color="000000"/>
            </w:tcBorders>
            <w:tcMar>
              <w:top w:w="0" w:type="dxa"/>
              <w:left w:w="144" w:type="dxa"/>
              <w:bottom w:w="0" w:type="dxa"/>
              <w:right w:w="0" w:type="dxa"/>
            </w:tcMar>
            <w:vAlign w:val="bottom"/>
            <w:hideMark/>
          </w:tcPr>
          <w:p w14:paraId="34A453F5" w14:textId="77777777" w:rsidR="00D246A9" w:rsidRDefault="00D246A9">
            <w:pPr>
              <w:pStyle w:val="NormalWeb"/>
              <w:spacing w:before="0" w:beforeAutospacing="0" w:after="0" w:afterAutospacing="0"/>
              <w:jc w:val="right"/>
              <w:rPr>
                <w:rFonts w:ascii="Arial" w:hAnsi="Arial" w:cs="Arial"/>
                <w:sz w:val="18"/>
                <w:szCs w:val="18"/>
              </w:rPr>
            </w:pPr>
            <w:proofErr w:type="gramStart"/>
            <w:r>
              <w:rPr>
                <w:rFonts w:ascii="Arial" w:hAnsi="Arial" w:cs="Arial"/>
                <w:b/>
                <w:bCs/>
                <w:sz w:val="18"/>
                <w:szCs w:val="18"/>
              </w:rPr>
              <w:t>Additional</w:t>
            </w:r>
            <w:proofErr w:type="gramEnd"/>
          </w:p>
          <w:p w14:paraId="1F35B2AD"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Underlying Shares</w:t>
            </w:r>
          </w:p>
          <w:p w14:paraId="6A145410"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or Stock Units</w:t>
            </w:r>
            <w:r>
              <w:rPr>
                <w:rFonts w:ascii="Arial" w:hAnsi="Arial" w:cs="Arial"/>
                <w:b/>
                <w:bCs/>
                <w:sz w:val="14"/>
                <w:szCs w:val="14"/>
                <w:vertAlign w:val="superscript"/>
              </w:rPr>
              <w:t>3,4</w:t>
            </w:r>
          </w:p>
        </w:tc>
        <w:tc>
          <w:tcPr>
            <w:tcW w:w="1060" w:type="dxa"/>
            <w:tcBorders>
              <w:bottom w:val="single" w:sz="8" w:space="0" w:color="000000"/>
            </w:tcBorders>
            <w:tcMar>
              <w:top w:w="0" w:type="dxa"/>
              <w:left w:w="144" w:type="dxa"/>
              <w:bottom w:w="0" w:type="dxa"/>
              <w:right w:w="0" w:type="dxa"/>
            </w:tcMar>
            <w:vAlign w:val="bottom"/>
            <w:hideMark/>
          </w:tcPr>
          <w:p w14:paraId="28E9D303" w14:textId="77777777" w:rsidR="00D246A9" w:rsidRDefault="00D246A9">
            <w:pPr>
              <w:jc w:val="right"/>
              <w:rPr>
                <w:rFonts w:ascii="Arial" w:hAnsi="Arial" w:cs="Arial"/>
                <w:sz w:val="18"/>
                <w:szCs w:val="18"/>
              </w:rPr>
            </w:pPr>
            <w:r>
              <w:rPr>
                <w:rFonts w:ascii="Arial" w:hAnsi="Arial" w:cs="Arial"/>
                <w:b/>
                <w:bCs/>
                <w:sz w:val="18"/>
                <w:szCs w:val="18"/>
              </w:rPr>
              <w:t>Total</w:t>
            </w:r>
          </w:p>
        </w:tc>
      </w:tr>
      <w:tr w:rsidR="00D246A9" w14:paraId="7E0D1B42" w14:textId="77777777" w:rsidTr="00FE0A0A">
        <w:trPr>
          <w:cantSplit/>
        </w:trPr>
        <w:tc>
          <w:tcPr>
            <w:tcW w:w="5267" w:type="dxa"/>
            <w:tcBorders>
              <w:bottom w:val="single" w:sz="6" w:space="0" w:color="0075C9"/>
            </w:tcBorders>
            <w:tcMar>
              <w:top w:w="0" w:type="dxa"/>
              <w:left w:w="0" w:type="dxa"/>
              <w:bottom w:w="40" w:type="dxa"/>
              <w:right w:w="0" w:type="dxa"/>
            </w:tcMar>
            <w:hideMark/>
          </w:tcPr>
          <w:p w14:paraId="2696BD02"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Reid G. Hoffman</w:t>
            </w:r>
          </w:p>
        </w:tc>
        <w:tc>
          <w:tcPr>
            <w:tcW w:w="1205" w:type="dxa"/>
            <w:tcBorders>
              <w:bottom w:val="single" w:sz="6" w:space="0" w:color="0075C9"/>
            </w:tcBorders>
            <w:noWrap/>
            <w:tcMar>
              <w:top w:w="0" w:type="dxa"/>
              <w:left w:w="144" w:type="dxa"/>
              <w:bottom w:w="0" w:type="dxa"/>
              <w:right w:w="0" w:type="dxa"/>
            </w:tcMar>
            <w:vAlign w:val="bottom"/>
            <w:hideMark/>
          </w:tcPr>
          <w:p w14:paraId="7FDDC2AD"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15,905</w:t>
            </w:r>
            <w:r>
              <w:rPr>
                <w:rFonts w:ascii="Arial" w:hAnsi="Arial" w:cs="Arial"/>
                <w:sz w:val="14"/>
                <w:szCs w:val="14"/>
                <w:vertAlign w:val="superscript"/>
              </w:rPr>
              <w:tab/>
              <w:t>5</w:t>
            </w:r>
          </w:p>
        </w:tc>
        <w:tc>
          <w:tcPr>
            <w:tcW w:w="1344" w:type="dxa"/>
            <w:tcBorders>
              <w:bottom w:val="single" w:sz="6" w:space="0" w:color="0075C9"/>
            </w:tcBorders>
            <w:noWrap/>
            <w:tcMar>
              <w:top w:w="0" w:type="dxa"/>
              <w:left w:w="144" w:type="dxa"/>
              <w:bottom w:w="0" w:type="dxa"/>
              <w:right w:w="0" w:type="dxa"/>
            </w:tcMar>
            <w:vAlign w:val="bottom"/>
            <w:hideMark/>
          </w:tcPr>
          <w:p w14:paraId="79825597"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181A6DAE"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14,270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48EE6E5F"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30,175</w:t>
            </w:r>
            <w:r>
              <w:rPr>
                <w:rFonts w:ascii="Arial" w:hAnsi="Arial" w:cs="Arial"/>
                <w:sz w:val="18"/>
                <w:szCs w:val="18"/>
              </w:rPr>
              <w:tab/>
            </w:r>
          </w:p>
        </w:tc>
      </w:tr>
      <w:tr w:rsidR="00D246A9" w14:paraId="52C7DEF9" w14:textId="77777777" w:rsidTr="00FE0A0A">
        <w:trPr>
          <w:cantSplit/>
        </w:trPr>
        <w:tc>
          <w:tcPr>
            <w:tcW w:w="5267" w:type="dxa"/>
            <w:tcBorders>
              <w:bottom w:val="single" w:sz="6" w:space="0" w:color="0075C9"/>
            </w:tcBorders>
            <w:tcMar>
              <w:top w:w="0" w:type="dxa"/>
              <w:left w:w="0" w:type="dxa"/>
              <w:bottom w:w="40" w:type="dxa"/>
              <w:right w:w="0" w:type="dxa"/>
            </w:tcMar>
            <w:hideMark/>
          </w:tcPr>
          <w:p w14:paraId="5EAE0F48"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Hugh F. Johnston</w:t>
            </w:r>
          </w:p>
        </w:tc>
        <w:tc>
          <w:tcPr>
            <w:tcW w:w="1205" w:type="dxa"/>
            <w:tcBorders>
              <w:bottom w:val="single" w:sz="6" w:space="0" w:color="0075C9"/>
            </w:tcBorders>
            <w:noWrap/>
            <w:tcMar>
              <w:top w:w="0" w:type="dxa"/>
              <w:left w:w="144" w:type="dxa"/>
              <w:bottom w:w="0" w:type="dxa"/>
              <w:right w:w="0" w:type="dxa"/>
            </w:tcMar>
            <w:vAlign w:val="bottom"/>
            <w:hideMark/>
          </w:tcPr>
          <w:p w14:paraId="568D2B3A"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7,443</w:t>
            </w:r>
            <w:r>
              <w:rPr>
                <w:rFonts w:ascii="Arial" w:hAnsi="Arial" w:cs="Arial"/>
                <w:sz w:val="14"/>
                <w:szCs w:val="14"/>
                <w:vertAlign w:val="superscript"/>
              </w:rPr>
              <w:tab/>
              <w:t>6</w:t>
            </w:r>
          </w:p>
        </w:tc>
        <w:tc>
          <w:tcPr>
            <w:tcW w:w="1344" w:type="dxa"/>
            <w:tcBorders>
              <w:bottom w:val="single" w:sz="6" w:space="0" w:color="0075C9"/>
            </w:tcBorders>
            <w:noWrap/>
            <w:tcMar>
              <w:top w:w="0" w:type="dxa"/>
              <w:left w:w="144" w:type="dxa"/>
              <w:bottom w:w="0" w:type="dxa"/>
              <w:right w:w="0" w:type="dxa"/>
            </w:tcMar>
            <w:vAlign w:val="bottom"/>
            <w:hideMark/>
          </w:tcPr>
          <w:p w14:paraId="00C02365"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661A8C91"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238F7D55"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7,443</w:t>
            </w:r>
            <w:r>
              <w:rPr>
                <w:rFonts w:ascii="Arial" w:hAnsi="Arial" w:cs="Arial"/>
                <w:sz w:val="18"/>
                <w:szCs w:val="18"/>
              </w:rPr>
              <w:tab/>
            </w:r>
          </w:p>
        </w:tc>
      </w:tr>
      <w:tr w:rsidR="00D246A9" w14:paraId="78087129" w14:textId="77777777" w:rsidTr="00FE0A0A">
        <w:trPr>
          <w:cantSplit/>
        </w:trPr>
        <w:tc>
          <w:tcPr>
            <w:tcW w:w="5267" w:type="dxa"/>
            <w:tcBorders>
              <w:bottom w:val="single" w:sz="6" w:space="0" w:color="0075C9"/>
            </w:tcBorders>
            <w:tcMar>
              <w:top w:w="0" w:type="dxa"/>
              <w:left w:w="0" w:type="dxa"/>
              <w:bottom w:w="40" w:type="dxa"/>
              <w:right w:w="0" w:type="dxa"/>
            </w:tcMar>
            <w:hideMark/>
          </w:tcPr>
          <w:p w14:paraId="6B0F73C1"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Teri L. List</w:t>
            </w:r>
          </w:p>
        </w:tc>
        <w:tc>
          <w:tcPr>
            <w:tcW w:w="1205" w:type="dxa"/>
            <w:tcBorders>
              <w:bottom w:val="single" w:sz="6" w:space="0" w:color="0075C9"/>
            </w:tcBorders>
            <w:noWrap/>
            <w:tcMar>
              <w:top w:w="0" w:type="dxa"/>
              <w:left w:w="144" w:type="dxa"/>
              <w:bottom w:w="0" w:type="dxa"/>
              <w:right w:w="0" w:type="dxa"/>
            </w:tcMar>
            <w:vAlign w:val="bottom"/>
            <w:hideMark/>
          </w:tcPr>
          <w:p w14:paraId="4AD89BCA"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24,132</w:t>
            </w:r>
            <w:r>
              <w:rPr>
                <w:rFonts w:ascii="Arial" w:hAnsi="Arial" w:cs="Arial"/>
                <w:sz w:val="14"/>
                <w:szCs w:val="14"/>
                <w:vertAlign w:val="superscript"/>
              </w:rPr>
              <w:tab/>
              <w:t>7</w:t>
            </w:r>
          </w:p>
        </w:tc>
        <w:tc>
          <w:tcPr>
            <w:tcW w:w="1344" w:type="dxa"/>
            <w:tcBorders>
              <w:bottom w:val="single" w:sz="6" w:space="0" w:color="0075C9"/>
            </w:tcBorders>
            <w:noWrap/>
            <w:tcMar>
              <w:top w:w="0" w:type="dxa"/>
              <w:left w:w="144" w:type="dxa"/>
              <w:bottom w:w="0" w:type="dxa"/>
              <w:right w:w="0" w:type="dxa"/>
            </w:tcMar>
            <w:vAlign w:val="bottom"/>
            <w:hideMark/>
          </w:tcPr>
          <w:p w14:paraId="72DD64C7"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327022AD"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12EF0E68"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24,132</w:t>
            </w:r>
            <w:r>
              <w:rPr>
                <w:rFonts w:ascii="Arial" w:hAnsi="Arial" w:cs="Arial"/>
                <w:sz w:val="18"/>
                <w:szCs w:val="18"/>
              </w:rPr>
              <w:tab/>
            </w:r>
          </w:p>
        </w:tc>
      </w:tr>
      <w:tr w:rsidR="00D246A9" w14:paraId="04A367D0" w14:textId="77777777" w:rsidTr="00FE0A0A">
        <w:trPr>
          <w:cantSplit/>
        </w:trPr>
        <w:tc>
          <w:tcPr>
            <w:tcW w:w="5267" w:type="dxa"/>
            <w:tcBorders>
              <w:bottom w:val="single" w:sz="6" w:space="0" w:color="0075C9"/>
            </w:tcBorders>
            <w:tcMar>
              <w:top w:w="0" w:type="dxa"/>
              <w:left w:w="0" w:type="dxa"/>
              <w:bottom w:w="40" w:type="dxa"/>
              <w:right w:w="0" w:type="dxa"/>
            </w:tcMar>
            <w:hideMark/>
          </w:tcPr>
          <w:p w14:paraId="5DAEE6B7"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Catherine MacGregor</w:t>
            </w:r>
          </w:p>
        </w:tc>
        <w:tc>
          <w:tcPr>
            <w:tcW w:w="1205" w:type="dxa"/>
            <w:tcBorders>
              <w:bottom w:val="single" w:sz="6" w:space="0" w:color="0075C9"/>
            </w:tcBorders>
            <w:noWrap/>
            <w:tcMar>
              <w:top w:w="0" w:type="dxa"/>
              <w:left w:w="144" w:type="dxa"/>
              <w:bottom w:w="0" w:type="dxa"/>
              <w:right w:w="0" w:type="dxa"/>
            </w:tcMar>
            <w:vAlign w:val="bottom"/>
            <w:hideMark/>
          </w:tcPr>
          <w:p w14:paraId="19D5E9AD"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3E725A9A"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440AAE19"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68C5BAFD"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D246A9" w14:paraId="5F338E15" w14:textId="77777777" w:rsidTr="00FE0A0A">
        <w:trPr>
          <w:cantSplit/>
        </w:trPr>
        <w:tc>
          <w:tcPr>
            <w:tcW w:w="5267" w:type="dxa"/>
            <w:tcBorders>
              <w:bottom w:val="single" w:sz="6" w:space="0" w:color="0075C9"/>
            </w:tcBorders>
            <w:tcMar>
              <w:top w:w="0" w:type="dxa"/>
              <w:left w:w="0" w:type="dxa"/>
              <w:bottom w:w="40" w:type="dxa"/>
              <w:right w:w="0" w:type="dxa"/>
            </w:tcMar>
            <w:hideMark/>
          </w:tcPr>
          <w:p w14:paraId="6C91207E"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Mark A. L. Mason</w:t>
            </w:r>
          </w:p>
        </w:tc>
        <w:tc>
          <w:tcPr>
            <w:tcW w:w="1205" w:type="dxa"/>
            <w:tcBorders>
              <w:bottom w:val="single" w:sz="6" w:space="0" w:color="0075C9"/>
            </w:tcBorders>
            <w:noWrap/>
            <w:tcMar>
              <w:top w:w="0" w:type="dxa"/>
              <w:left w:w="144" w:type="dxa"/>
              <w:bottom w:w="0" w:type="dxa"/>
              <w:right w:w="0" w:type="dxa"/>
            </w:tcMar>
            <w:vAlign w:val="bottom"/>
            <w:hideMark/>
          </w:tcPr>
          <w:p w14:paraId="16987158"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318</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71410246"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6601384E"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57D9F25C"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318</w:t>
            </w:r>
            <w:r>
              <w:rPr>
                <w:rFonts w:ascii="Arial" w:hAnsi="Arial" w:cs="Arial"/>
                <w:sz w:val="18"/>
                <w:szCs w:val="18"/>
              </w:rPr>
              <w:tab/>
            </w:r>
          </w:p>
        </w:tc>
      </w:tr>
      <w:tr w:rsidR="00D246A9" w14:paraId="2C08C8D6" w14:textId="77777777" w:rsidTr="00FE0A0A">
        <w:trPr>
          <w:cantSplit/>
        </w:trPr>
        <w:tc>
          <w:tcPr>
            <w:tcW w:w="5267" w:type="dxa"/>
            <w:tcBorders>
              <w:bottom w:val="single" w:sz="6" w:space="0" w:color="0075C9"/>
            </w:tcBorders>
            <w:tcMar>
              <w:top w:w="0" w:type="dxa"/>
              <w:left w:w="0" w:type="dxa"/>
              <w:bottom w:w="40" w:type="dxa"/>
              <w:right w:w="0" w:type="dxa"/>
            </w:tcMar>
            <w:hideMark/>
          </w:tcPr>
          <w:p w14:paraId="27F1BF01"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Sandra E. Peterson</w:t>
            </w:r>
          </w:p>
        </w:tc>
        <w:tc>
          <w:tcPr>
            <w:tcW w:w="1205" w:type="dxa"/>
            <w:tcBorders>
              <w:bottom w:val="single" w:sz="6" w:space="0" w:color="0075C9"/>
            </w:tcBorders>
            <w:noWrap/>
            <w:tcMar>
              <w:top w:w="0" w:type="dxa"/>
              <w:left w:w="144" w:type="dxa"/>
              <w:bottom w:w="0" w:type="dxa"/>
              <w:right w:w="0" w:type="dxa"/>
            </w:tcMar>
            <w:vAlign w:val="bottom"/>
            <w:hideMark/>
          </w:tcPr>
          <w:p w14:paraId="00394D2D"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28,267</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31527996"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440F38D9"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1704BE64"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28,267</w:t>
            </w:r>
            <w:r>
              <w:rPr>
                <w:rFonts w:ascii="Arial" w:hAnsi="Arial" w:cs="Arial"/>
                <w:sz w:val="18"/>
                <w:szCs w:val="18"/>
              </w:rPr>
              <w:tab/>
            </w:r>
          </w:p>
        </w:tc>
      </w:tr>
      <w:tr w:rsidR="00D246A9" w14:paraId="38BE8F1C" w14:textId="77777777" w:rsidTr="00FE0A0A">
        <w:trPr>
          <w:cantSplit/>
        </w:trPr>
        <w:tc>
          <w:tcPr>
            <w:tcW w:w="5267" w:type="dxa"/>
            <w:tcBorders>
              <w:bottom w:val="single" w:sz="6" w:space="0" w:color="0075C9"/>
            </w:tcBorders>
            <w:tcMar>
              <w:top w:w="0" w:type="dxa"/>
              <w:left w:w="0" w:type="dxa"/>
              <w:bottom w:w="40" w:type="dxa"/>
              <w:right w:w="0" w:type="dxa"/>
            </w:tcMar>
            <w:hideMark/>
          </w:tcPr>
          <w:p w14:paraId="0BE7DC2E"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Penny S. Pritzker</w:t>
            </w:r>
          </w:p>
        </w:tc>
        <w:tc>
          <w:tcPr>
            <w:tcW w:w="1205" w:type="dxa"/>
            <w:tcBorders>
              <w:bottom w:val="single" w:sz="6" w:space="0" w:color="0075C9"/>
            </w:tcBorders>
            <w:noWrap/>
            <w:tcMar>
              <w:top w:w="0" w:type="dxa"/>
              <w:left w:w="144" w:type="dxa"/>
              <w:bottom w:w="0" w:type="dxa"/>
              <w:right w:w="0" w:type="dxa"/>
            </w:tcMar>
            <w:vAlign w:val="bottom"/>
            <w:hideMark/>
          </w:tcPr>
          <w:p w14:paraId="58F69A5D"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23,527</w:t>
            </w:r>
            <w:r>
              <w:rPr>
                <w:rFonts w:ascii="Arial" w:hAnsi="Arial" w:cs="Arial"/>
                <w:sz w:val="14"/>
                <w:szCs w:val="14"/>
                <w:vertAlign w:val="superscript"/>
              </w:rPr>
              <w:tab/>
              <w:t>8</w:t>
            </w:r>
          </w:p>
        </w:tc>
        <w:tc>
          <w:tcPr>
            <w:tcW w:w="1344" w:type="dxa"/>
            <w:tcBorders>
              <w:bottom w:val="single" w:sz="6" w:space="0" w:color="0075C9"/>
            </w:tcBorders>
            <w:noWrap/>
            <w:tcMar>
              <w:top w:w="0" w:type="dxa"/>
              <w:left w:w="144" w:type="dxa"/>
              <w:bottom w:w="0" w:type="dxa"/>
              <w:right w:w="0" w:type="dxa"/>
            </w:tcMar>
            <w:vAlign w:val="bottom"/>
            <w:hideMark/>
          </w:tcPr>
          <w:p w14:paraId="078CD0D5"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40343633"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2E100C8F"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23,527</w:t>
            </w:r>
            <w:r>
              <w:rPr>
                <w:rFonts w:ascii="Arial" w:hAnsi="Arial" w:cs="Arial"/>
                <w:sz w:val="18"/>
                <w:szCs w:val="18"/>
              </w:rPr>
              <w:tab/>
            </w:r>
          </w:p>
        </w:tc>
      </w:tr>
      <w:tr w:rsidR="00D246A9" w14:paraId="33E71B82" w14:textId="77777777" w:rsidTr="00FE0A0A">
        <w:trPr>
          <w:cantSplit/>
        </w:trPr>
        <w:tc>
          <w:tcPr>
            <w:tcW w:w="5267" w:type="dxa"/>
            <w:tcBorders>
              <w:bottom w:val="single" w:sz="6" w:space="0" w:color="0075C9"/>
            </w:tcBorders>
            <w:tcMar>
              <w:top w:w="0" w:type="dxa"/>
              <w:left w:w="0" w:type="dxa"/>
              <w:bottom w:w="40" w:type="dxa"/>
              <w:right w:w="0" w:type="dxa"/>
            </w:tcMar>
            <w:hideMark/>
          </w:tcPr>
          <w:p w14:paraId="20D47360"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Carlos A. Rodriguez</w:t>
            </w:r>
          </w:p>
        </w:tc>
        <w:tc>
          <w:tcPr>
            <w:tcW w:w="1205" w:type="dxa"/>
            <w:tcBorders>
              <w:bottom w:val="single" w:sz="6" w:space="0" w:color="0075C9"/>
            </w:tcBorders>
            <w:noWrap/>
            <w:tcMar>
              <w:top w:w="0" w:type="dxa"/>
              <w:left w:w="144" w:type="dxa"/>
              <w:bottom w:w="0" w:type="dxa"/>
              <w:right w:w="0" w:type="dxa"/>
            </w:tcMar>
            <w:vAlign w:val="bottom"/>
            <w:hideMark/>
          </w:tcPr>
          <w:p w14:paraId="115AED77"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2,372</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68549B8F"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10E0B909"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182739F5"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2,372</w:t>
            </w:r>
            <w:r>
              <w:rPr>
                <w:rFonts w:ascii="Arial" w:hAnsi="Arial" w:cs="Arial"/>
                <w:sz w:val="18"/>
                <w:szCs w:val="18"/>
              </w:rPr>
              <w:tab/>
            </w:r>
          </w:p>
        </w:tc>
      </w:tr>
      <w:tr w:rsidR="00D246A9" w14:paraId="4B2922AB" w14:textId="77777777" w:rsidTr="00FE0A0A">
        <w:trPr>
          <w:cantSplit/>
        </w:trPr>
        <w:tc>
          <w:tcPr>
            <w:tcW w:w="5267" w:type="dxa"/>
            <w:tcBorders>
              <w:bottom w:val="single" w:sz="6" w:space="0" w:color="0075C9"/>
            </w:tcBorders>
            <w:tcMar>
              <w:top w:w="0" w:type="dxa"/>
              <w:left w:w="0" w:type="dxa"/>
              <w:bottom w:w="40" w:type="dxa"/>
              <w:right w:w="0" w:type="dxa"/>
            </w:tcMar>
            <w:hideMark/>
          </w:tcPr>
          <w:p w14:paraId="316ABE5B"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Charles W. Scharf</w:t>
            </w:r>
          </w:p>
        </w:tc>
        <w:tc>
          <w:tcPr>
            <w:tcW w:w="1205" w:type="dxa"/>
            <w:tcBorders>
              <w:bottom w:val="single" w:sz="6" w:space="0" w:color="0075C9"/>
            </w:tcBorders>
            <w:noWrap/>
            <w:tcMar>
              <w:top w:w="0" w:type="dxa"/>
              <w:left w:w="144" w:type="dxa"/>
              <w:bottom w:w="0" w:type="dxa"/>
              <w:right w:w="0" w:type="dxa"/>
            </w:tcMar>
            <w:vAlign w:val="bottom"/>
            <w:hideMark/>
          </w:tcPr>
          <w:p w14:paraId="671565E6"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44,011</w:t>
            </w:r>
            <w:r>
              <w:rPr>
                <w:rFonts w:ascii="Arial" w:hAnsi="Arial" w:cs="Arial"/>
                <w:sz w:val="14"/>
                <w:szCs w:val="14"/>
                <w:vertAlign w:val="superscript"/>
              </w:rPr>
              <w:tab/>
              <w:t>9</w:t>
            </w:r>
          </w:p>
        </w:tc>
        <w:tc>
          <w:tcPr>
            <w:tcW w:w="1344" w:type="dxa"/>
            <w:tcBorders>
              <w:bottom w:val="single" w:sz="6" w:space="0" w:color="0075C9"/>
            </w:tcBorders>
            <w:noWrap/>
            <w:tcMar>
              <w:top w:w="0" w:type="dxa"/>
              <w:left w:w="144" w:type="dxa"/>
              <w:bottom w:w="0" w:type="dxa"/>
              <w:right w:w="0" w:type="dxa"/>
            </w:tcMar>
            <w:vAlign w:val="bottom"/>
            <w:hideMark/>
          </w:tcPr>
          <w:p w14:paraId="3AF31547"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1A840DC7"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57113B9F"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44,011</w:t>
            </w:r>
            <w:r>
              <w:rPr>
                <w:rFonts w:ascii="Arial" w:hAnsi="Arial" w:cs="Arial"/>
                <w:sz w:val="18"/>
                <w:szCs w:val="18"/>
              </w:rPr>
              <w:tab/>
            </w:r>
          </w:p>
        </w:tc>
      </w:tr>
      <w:tr w:rsidR="00D246A9" w14:paraId="626ADF20" w14:textId="77777777" w:rsidTr="00FE0A0A">
        <w:trPr>
          <w:cantSplit/>
        </w:trPr>
        <w:tc>
          <w:tcPr>
            <w:tcW w:w="5267" w:type="dxa"/>
            <w:tcBorders>
              <w:bottom w:val="single" w:sz="6" w:space="0" w:color="0075C9"/>
            </w:tcBorders>
            <w:tcMar>
              <w:top w:w="0" w:type="dxa"/>
              <w:left w:w="0" w:type="dxa"/>
              <w:bottom w:w="40" w:type="dxa"/>
              <w:right w:w="0" w:type="dxa"/>
            </w:tcMar>
            <w:hideMark/>
          </w:tcPr>
          <w:p w14:paraId="6E651303"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Stanton</w:t>
            </w:r>
          </w:p>
        </w:tc>
        <w:tc>
          <w:tcPr>
            <w:tcW w:w="1205" w:type="dxa"/>
            <w:tcBorders>
              <w:bottom w:val="single" w:sz="6" w:space="0" w:color="0075C9"/>
            </w:tcBorders>
            <w:noWrap/>
            <w:tcMar>
              <w:top w:w="0" w:type="dxa"/>
              <w:left w:w="144" w:type="dxa"/>
              <w:bottom w:w="0" w:type="dxa"/>
              <w:right w:w="0" w:type="dxa"/>
            </w:tcMar>
            <w:vAlign w:val="bottom"/>
            <w:hideMark/>
          </w:tcPr>
          <w:p w14:paraId="36973E45"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84,742</w:t>
            </w:r>
            <w:r>
              <w:rPr>
                <w:rFonts w:ascii="Arial" w:hAnsi="Arial" w:cs="Arial"/>
                <w:sz w:val="14"/>
                <w:szCs w:val="14"/>
                <w:vertAlign w:val="superscript"/>
              </w:rPr>
              <w:tab/>
              <w:t>10</w:t>
            </w:r>
          </w:p>
        </w:tc>
        <w:tc>
          <w:tcPr>
            <w:tcW w:w="1344" w:type="dxa"/>
            <w:tcBorders>
              <w:bottom w:val="single" w:sz="6" w:space="0" w:color="0075C9"/>
            </w:tcBorders>
            <w:noWrap/>
            <w:tcMar>
              <w:top w:w="0" w:type="dxa"/>
              <w:left w:w="144" w:type="dxa"/>
              <w:bottom w:w="0" w:type="dxa"/>
              <w:right w:w="0" w:type="dxa"/>
            </w:tcMar>
            <w:vAlign w:val="bottom"/>
            <w:hideMark/>
          </w:tcPr>
          <w:p w14:paraId="633CB15C"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2A6CFD86"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3246D51F"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84,742</w:t>
            </w:r>
            <w:r>
              <w:rPr>
                <w:rFonts w:ascii="Arial" w:hAnsi="Arial" w:cs="Arial"/>
                <w:sz w:val="18"/>
                <w:szCs w:val="18"/>
              </w:rPr>
              <w:tab/>
            </w:r>
          </w:p>
        </w:tc>
      </w:tr>
      <w:tr w:rsidR="00D246A9" w14:paraId="59AE50B7" w14:textId="77777777" w:rsidTr="00FE0A0A">
        <w:trPr>
          <w:cantSplit/>
        </w:trPr>
        <w:tc>
          <w:tcPr>
            <w:tcW w:w="5267" w:type="dxa"/>
            <w:tcBorders>
              <w:bottom w:val="single" w:sz="6" w:space="0" w:color="0075C9"/>
            </w:tcBorders>
            <w:tcMar>
              <w:top w:w="0" w:type="dxa"/>
              <w:left w:w="0" w:type="dxa"/>
              <w:bottom w:w="40" w:type="dxa"/>
              <w:right w:w="0" w:type="dxa"/>
            </w:tcMar>
            <w:hideMark/>
          </w:tcPr>
          <w:p w14:paraId="4F10CD8A"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Thompson</w:t>
            </w:r>
          </w:p>
        </w:tc>
        <w:tc>
          <w:tcPr>
            <w:tcW w:w="1205" w:type="dxa"/>
            <w:tcBorders>
              <w:bottom w:val="single" w:sz="6" w:space="0" w:color="0075C9"/>
            </w:tcBorders>
            <w:noWrap/>
            <w:tcMar>
              <w:top w:w="0" w:type="dxa"/>
              <w:left w:w="144" w:type="dxa"/>
              <w:bottom w:w="0" w:type="dxa"/>
              <w:right w:w="0" w:type="dxa"/>
            </w:tcMar>
            <w:vAlign w:val="bottom"/>
            <w:hideMark/>
          </w:tcPr>
          <w:p w14:paraId="52A9F967"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36,864</w:t>
            </w:r>
            <w:r>
              <w:rPr>
                <w:rFonts w:ascii="Arial" w:hAnsi="Arial" w:cs="Arial"/>
                <w:sz w:val="14"/>
                <w:szCs w:val="14"/>
                <w:vertAlign w:val="superscript"/>
              </w:rPr>
              <w:tab/>
              <w:t>11</w:t>
            </w:r>
          </w:p>
        </w:tc>
        <w:tc>
          <w:tcPr>
            <w:tcW w:w="1344" w:type="dxa"/>
            <w:tcBorders>
              <w:bottom w:val="single" w:sz="6" w:space="0" w:color="0075C9"/>
            </w:tcBorders>
            <w:noWrap/>
            <w:tcMar>
              <w:top w:w="0" w:type="dxa"/>
              <w:left w:w="144" w:type="dxa"/>
              <w:bottom w:w="0" w:type="dxa"/>
              <w:right w:w="0" w:type="dxa"/>
            </w:tcMar>
            <w:vAlign w:val="bottom"/>
            <w:hideMark/>
          </w:tcPr>
          <w:p w14:paraId="5DD1CF30"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55065E6B"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60,751</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706123FB"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97,615</w:t>
            </w:r>
            <w:r>
              <w:rPr>
                <w:rFonts w:ascii="Arial" w:hAnsi="Arial" w:cs="Arial"/>
                <w:sz w:val="18"/>
                <w:szCs w:val="18"/>
              </w:rPr>
              <w:tab/>
            </w:r>
          </w:p>
        </w:tc>
      </w:tr>
      <w:tr w:rsidR="00D246A9" w14:paraId="2A3D7970" w14:textId="77777777" w:rsidTr="00FE0A0A">
        <w:trPr>
          <w:cantSplit/>
        </w:trPr>
        <w:tc>
          <w:tcPr>
            <w:tcW w:w="5267" w:type="dxa"/>
            <w:tcBorders>
              <w:bottom w:val="single" w:sz="6" w:space="0" w:color="0075C9"/>
            </w:tcBorders>
            <w:tcMar>
              <w:top w:w="0" w:type="dxa"/>
              <w:left w:w="0" w:type="dxa"/>
              <w:bottom w:w="40" w:type="dxa"/>
              <w:right w:w="0" w:type="dxa"/>
            </w:tcMar>
            <w:hideMark/>
          </w:tcPr>
          <w:p w14:paraId="25F10D9B"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Emma N. Walmsley</w:t>
            </w:r>
          </w:p>
        </w:tc>
        <w:tc>
          <w:tcPr>
            <w:tcW w:w="1205" w:type="dxa"/>
            <w:tcBorders>
              <w:bottom w:val="single" w:sz="6" w:space="0" w:color="0075C9"/>
            </w:tcBorders>
            <w:noWrap/>
            <w:tcMar>
              <w:top w:w="0" w:type="dxa"/>
              <w:left w:w="144" w:type="dxa"/>
              <w:bottom w:w="0" w:type="dxa"/>
              <w:right w:w="0" w:type="dxa"/>
            </w:tcMar>
            <w:vAlign w:val="bottom"/>
            <w:hideMark/>
          </w:tcPr>
          <w:p w14:paraId="2BA3BC71"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9,698</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4380F951"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45E97018"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277E1021"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9,698</w:t>
            </w:r>
            <w:r>
              <w:rPr>
                <w:rFonts w:ascii="Arial" w:hAnsi="Arial" w:cs="Arial"/>
                <w:sz w:val="18"/>
                <w:szCs w:val="18"/>
              </w:rPr>
              <w:tab/>
            </w:r>
          </w:p>
        </w:tc>
      </w:tr>
      <w:tr w:rsidR="00D246A9" w14:paraId="599703C1" w14:textId="77777777" w:rsidTr="00FE0A0A">
        <w:trPr>
          <w:cantSplit/>
        </w:trPr>
        <w:tc>
          <w:tcPr>
            <w:tcW w:w="5267" w:type="dxa"/>
            <w:tcBorders>
              <w:bottom w:val="single" w:sz="6" w:space="0" w:color="0075C9"/>
            </w:tcBorders>
            <w:tcMar>
              <w:top w:w="0" w:type="dxa"/>
              <w:left w:w="0" w:type="dxa"/>
              <w:bottom w:w="40" w:type="dxa"/>
              <w:right w:w="0" w:type="dxa"/>
            </w:tcMar>
            <w:hideMark/>
          </w:tcPr>
          <w:p w14:paraId="1CF95618"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Padmasree Warrior</w:t>
            </w:r>
          </w:p>
        </w:tc>
        <w:tc>
          <w:tcPr>
            <w:tcW w:w="1205" w:type="dxa"/>
            <w:tcBorders>
              <w:bottom w:val="single" w:sz="6" w:space="0" w:color="0075C9"/>
            </w:tcBorders>
            <w:noWrap/>
            <w:tcMar>
              <w:top w:w="0" w:type="dxa"/>
              <w:left w:w="144" w:type="dxa"/>
              <w:bottom w:w="0" w:type="dxa"/>
              <w:right w:w="0" w:type="dxa"/>
            </w:tcMar>
            <w:vAlign w:val="bottom"/>
            <w:hideMark/>
          </w:tcPr>
          <w:p w14:paraId="24689F8D"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17,828</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5CBDACFA"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73A1DAF8"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92</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235A485E"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17,920</w:t>
            </w:r>
            <w:r>
              <w:rPr>
                <w:rFonts w:ascii="Arial" w:hAnsi="Arial" w:cs="Arial"/>
                <w:sz w:val="18"/>
                <w:szCs w:val="18"/>
              </w:rPr>
              <w:tab/>
            </w:r>
          </w:p>
        </w:tc>
      </w:tr>
      <w:tr w:rsidR="00D246A9" w14:paraId="4BD4FEC5" w14:textId="77777777" w:rsidTr="00FE0A0A">
        <w:trPr>
          <w:cantSplit/>
        </w:trPr>
        <w:tc>
          <w:tcPr>
            <w:tcW w:w="5267" w:type="dxa"/>
            <w:tcBorders>
              <w:bottom w:val="single" w:sz="6" w:space="0" w:color="0075C9"/>
            </w:tcBorders>
            <w:tcMar>
              <w:top w:w="0" w:type="dxa"/>
              <w:left w:w="0" w:type="dxa"/>
              <w:bottom w:w="40" w:type="dxa"/>
              <w:right w:w="0" w:type="dxa"/>
            </w:tcMar>
            <w:hideMark/>
          </w:tcPr>
          <w:p w14:paraId="2CB3D700" w14:textId="2142D50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205" w:type="dxa"/>
            <w:tcBorders>
              <w:bottom w:val="single" w:sz="6" w:space="0" w:color="0075C9"/>
            </w:tcBorders>
            <w:noWrap/>
            <w:tcMar>
              <w:top w:w="0" w:type="dxa"/>
              <w:left w:w="144" w:type="dxa"/>
              <w:bottom w:w="0" w:type="dxa"/>
              <w:right w:w="0" w:type="dxa"/>
            </w:tcMar>
            <w:vAlign w:val="bottom"/>
            <w:hideMark/>
          </w:tcPr>
          <w:p w14:paraId="0A4BD513"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800,667</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1A39E49D"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3A04230B"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4BC125D3"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800,667</w:t>
            </w:r>
            <w:r>
              <w:rPr>
                <w:rFonts w:ascii="Arial" w:hAnsi="Arial" w:cs="Arial"/>
                <w:sz w:val="18"/>
                <w:szCs w:val="18"/>
              </w:rPr>
              <w:tab/>
            </w:r>
          </w:p>
        </w:tc>
      </w:tr>
      <w:tr w:rsidR="00D246A9" w14:paraId="417EA1E3" w14:textId="77777777" w:rsidTr="00FE0A0A">
        <w:trPr>
          <w:cantSplit/>
        </w:trPr>
        <w:tc>
          <w:tcPr>
            <w:tcW w:w="5267" w:type="dxa"/>
            <w:tcBorders>
              <w:bottom w:val="single" w:sz="6" w:space="0" w:color="0075C9"/>
            </w:tcBorders>
            <w:tcMar>
              <w:top w:w="0" w:type="dxa"/>
              <w:left w:w="0" w:type="dxa"/>
              <w:bottom w:w="40" w:type="dxa"/>
              <w:right w:w="0" w:type="dxa"/>
            </w:tcMar>
            <w:hideMark/>
          </w:tcPr>
          <w:p w14:paraId="78D90CFA"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1205" w:type="dxa"/>
            <w:tcBorders>
              <w:bottom w:val="single" w:sz="6" w:space="0" w:color="0075C9"/>
            </w:tcBorders>
            <w:noWrap/>
            <w:tcMar>
              <w:top w:w="0" w:type="dxa"/>
              <w:left w:w="144" w:type="dxa"/>
              <w:bottom w:w="0" w:type="dxa"/>
              <w:right w:w="0" w:type="dxa"/>
            </w:tcMar>
            <w:vAlign w:val="bottom"/>
            <w:hideMark/>
          </w:tcPr>
          <w:p w14:paraId="39D3BB1F"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410,366</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0ABE681C"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45ACB777"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74,326</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0E071A0A"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484,692</w:t>
            </w:r>
            <w:r>
              <w:rPr>
                <w:rFonts w:ascii="Arial" w:hAnsi="Arial" w:cs="Arial"/>
                <w:sz w:val="18"/>
                <w:szCs w:val="18"/>
              </w:rPr>
              <w:tab/>
            </w:r>
          </w:p>
        </w:tc>
      </w:tr>
      <w:tr w:rsidR="00D246A9" w14:paraId="4AD9059D" w14:textId="77777777" w:rsidTr="00FE0A0A">
        <w:trPr>
          <w:cantSplit/>
        </w:trPr>
        <w:tc>
          <w:tcPr>
            <w:tcW w:w="5267" w:type="dxa"/>
            <w:tcBorders>
              <w:bottom w:val="single" w:sz="6" w:space="0" w:color="0075C9"/>
            </w:tcBorders>
            <w:tcMar>
              <w:top w:w="0" w:type="dxa"/>
              <w:left w:w="0" w:type="dxa"/>
              <w:bottom w:w="40" w:type="dxa"/>
              <w:right w:w="0" w:type="dxa"/>
            </w:tcMar>
            <w:hideMark/>
          </w:tcPr>
          <w:p w14:paraId="3FF1A136"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1205" w:type="dxa"/>
            <w:tcBorders>
              <w:bottom w:val="single" w:sz="6" w:space="0" w:color="0075C9"/>
            </w:tcBorders>
            <w:noWrap/>
            <w:tcMar>
              <w:top w:w="0" w:type="dxa"/>
              <w:left w:w="144" w:type="dxa"/>
              <w:bottom w:w="0" w:type="dxa"/>
              <w:right w:w="0" w:type="dxa"/>
            </w:tcMar>
            <w:vAlign w:val="bottom"/>
            <w:hideMark/>
          </w:tcPr>
          <w:p w14:paraId="33C27919"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92,680</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46AC7DD0"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62636436"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61,806</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1A0848AE"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154,486</w:t>
            </w:r>
            <w:r>
              <w:rPr>
                <w:rFonts w:ascii="Arial" w:hAnsi="Arial" w:cs="Arial"/>
                <w:sz w:val="18"/>
                <w:szCs w:val="18"/>
              </w:rPr>
              <w:tab/>
            </w:r>
          </w:p>
        </w:tc>
      </w:tr>
      <w:tr w:rsidR="00D246A9" w14:paraId="555D0B82" w14:textId="77777777" w:rsidTr="00FE0A0A">
        <w:trPr>
          <w:cantSplit/>
        </w:trPr>
        <w:tc>
          <w:tcPr>
            <w:tcW w:w="5267" w:type="dxa"/>
            <w:tcBorders>
              <w:bottom w:val="single" w:sz="6" w:space="0" w:color="0075C9"/>
            </w:tcBorders>
            <w:tcMar>
              <w:top w:w="0" w:type="dxa"/>
              <w:left w:w="0" w:type="dxa"/>
              <w:bottom w:w="40" w:type="dxa"/>
              <w:right w:w="0" w:type="dxa"/>
            </w:tcMar>
            <w:hideMark/>
          </w:tcPr>
          <w:p w14:paraId="24A4F2B7"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1205" w:type="dxa"/>
            <w:tcBorders>
              <w:bottom w:val="single" w:sz="6" w:space="0" w:color="0075C9"/>
            </w:tcBorders>
            <w:noWrap/>
            <w:tcMar>
              <w:top w:w="0" w:type="dxa"/>
              <w:left w:w="144" w:type="dxa"/>
              <w:bottom w:w="0" w:type="dxa"/>
              <w:right w:w="0" w:type="dxa"/>
            </w:tcMar>
            <w:vAlign w:val="bottom"/>
            <w:hideMark/>
          </w:tcPr>
          <w:p w14:paraId="67001545"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530,941</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093CDA27"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7E89B4B9"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23,646</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03E72402"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554,587</w:t>
            </w:r>
            <w:r>
              <w:rPr>
                <w:rFonts w:ascii="Arial" w:hAnsi="Arial" w:cs="Arial"/>
                <w:sz w:val="18"/>
                <w:szCs w:val="18"/>
              </w:rPr>
              <w:tab/>
            </w:r>
          </w:p>
        </w:tc>
      </w:tr>
      <w:tr w:rsidR="00D246A9" w14:paraId="02850C8A" w14:textId="77777777" w:rsidTr="00FE0A0A">
        <w:trPr>
          <w:cantSplit/>
        </w:trPr>
        <w:tc>
          <w:tcPr>
            <w:tcW w:w="5267" w:type="dxa"/>
            <w:tcBorders>
              <w:bottom w:val="single" w:sz="6" w:space="0" w:color="0075C9"/>
            </w:tcBorders>
            <w:tcMar>
              <w:top w:w="0" w:type="dxa"/>
              <w:left w:w="0" w:type="dxa"/>
              <w:bottom w:w="40" w:type="dxa"/>
              <w:right w:w="0" w:type="dxa"/>
            </w:tcMar>
            <w:hideMark/>
          </w:tcPr>
          <w:p w14:paraId="05555DF7"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1205" w:type="dxa"/>
            <w:tcBorders>
              <w:bottom w:val="single" w:sz="6" w:space="0" w:color="0075C9"/>
            </w:tcBorders>
            <w:noWrap/>
            <w:tcMar>
              <w:top w:w="0" w:type="dxa"/>
              <w:left w:w="144" w:type="dxa"/>
              <w:bottom w:w="0" w:type="dxa"/>
              <w:right w:w="0" w:type="dxa"/>
            </w:tcMar>
            <w:vAlign w:val="bottom"/>
            <w:hideMark/>
          </w:tcPr>
          <w:p w14:paraId="37027B7D"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67,727</w:t>
            </w:r>
            <w:r>
              <w:rPr>
                <w:rFonts w:ascii="Arial" w:hAnsi="Arial" w:cs="Arial"/>
                <w:sz w:val="14"/>
                <w:szCs w:val="14"/>
                <w:vertAlign w:val="superscript"/>
              </w:rPr>
              <w:tab/>
              <w:t>12</w:t>
            </w:r>
          </w:p>
        </w:tc>
        <w:tc>
          <w:tcPr>
            <w:tcW w:w="1344" w:type="dxa"/>
            <w:tcBorders>
              <w:bottom w:val="single" w:sz="6" w:space="0" w:color="0075C9"/>
            </w:tcBorders>
            <w:noWrap/>
            <w:tcMar>
              <w:top w:w="0" w:type="dxa"/>
              <w:left w:w="144" w:type="dxa"/>
              <w:bottom w:w="0" w:type="dxa"/>
              <w:right w:w="0" w:type="dxa"/>
            </w:tcMar>
            <w:vAlign w:val="bottom"/>
            <w:hideMark/>
          </w:tcPr>
          <w:p w14:paraId="75482B12"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6CA9485F"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53,522</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354A6803"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121,249</w:t>
            </w:r>
            <w:r>
              <w:rPr>
                <w:rFonts w:ascii="Arial" w:hAnsi="Arial" w:cs="Arial"/>
                <w:sz w:val="18"/>
                <w:szCs w:val="18"/>
              </w:rPr>
              <w:tab/>
            </w:r>
          </w:p>
        </w:tc>
      </w:tr>
      <w:tr w:rsidR="00D246A9" w14:paraId="154B1FDF" w14:textId="77777777" w:rsidTr="00FE0A0A">
        <w:trPr>
          <w:cantSplit/>
        </w:trPr>
        <w:tc>
          <w:tcPr>
            <w:tcW w:w="5267" w:type="dxa"/>
            <w:tcBorders>
              <w:bottom w:val="single" w:sz="6" w:space="0" w:color="0075C9"/>
            </w:tcBorders>
            <w:tcMar>
              <w:top w:w="0" w:type="dxa"/>
              <w:left w:w="0" w:type="dxa"/>
              <w:bottom w:w="40" w:type="dxa"/>
              <w:right w:w="0" w:type="dxa"/>
            </w:tcMar>
            <w:hideMark/>
          </w:tcPr>
          <w:p w14:paraId="5156F5D3"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Directors and Executive Officers as a Group (18 people)</w:t>
            </w:r>
          </w:p>
        </w:tc>
        <w:tc>
          <w:tcPr>
            <w:tcW w:w="1205" w:type="dxa"/>
            <w:tcBorders>
              <w:bottom w:val="single" w:sz="6" w:space="0" w:color="0075C9"/>
            </w:tcBorders>
            <w:noWrap/>
            <w:tcMar>
              <w:top w:w="0" w:type="dxa"/>
              <w:left w:w="144" w:type="dxa"/>
              <w:bottom w:w="0" w:type="dxa"/>
              <w:right w:w="0" w:type="dxa"/>
            </w:tcMar>
            <w:vAlign w:val="bottom"/>
            <w:hideMark/>
          </w:tcPr>
          <w:p w14:paraId="10217107"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2,458,301</w:t>
            </w:r>
            <w:r>
              <w:rPr>
                <w:rFonts w:ascii="Arial" w:hAnsi="Arial" w:cs="Arial"/>
                <w:sz w:val="14"/>
                <w:szCs w:val="14"/>
                <w:vertAlign w:val="superscript"/>
              </w:rPr>
              <w:tab/>
              <w:t>13</w:t>
            </w:r>
            <w:r>
              <w:rPr>
                <w:rFonts w:ascii="Arial" w:hAnsi="Arial" w:cs="Arial"/>
                <w:sz w:val="18"/>
                <w:szCs w:val="18"/>
              </w:rPr>
              <w:t xml:space="preserve"> </w:t>
            </w:r>
          </w:p>
        </w:tc>
        <w:tc>
          <w:tcPr>
            <w:tcW w:w="1344" w:type="dxa"/>
            <w:tcBorders>
              <w:bottom w:val="single" w:sz="6" w:space="0" w:color="0075C9"/>
            </w:tcBorders>
            <w:noWrap/>
            <w:tcMar>
              <w:top w:w="0" w:type="dxa"/>
              <w:left w:w="144" w:type="dxa"/>
              <w:bottom w:w="0" w:type="dxa"/>
              <w:right w:w="0" w:type="dxa"/>
            </w:tcMar>
            <w:vAlign w:val="bottom"/>
            <w:hideMark/>
          </w:tcPr>
          <w:p w14:paraId="6DF9D70E"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24BC3929"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N/A</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63E9A426"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N/A</w:t>
            </w:r>
            <w:r>
              <w:rPr>
                <w:rFonts w:ascii="Arial" w:hAnsi="Arial" w:cs="Arial"/>
                <w:sz w:val="18"/>
                <w:szCs w:val="18"/>
              </w:rPr>
              <w:tab/>
            </w:r>
          </w:p>
        </w:tc>
      </w:tr>
    </w:tbl>
    <w:p w14:paraId="7E126E39" w14:textId="77777777" w:rsidR="00D246A9" w:rsidRPr="00306F7C"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w:t>
      </w:r>
      <w:r>
        <w:rPr>
          <w:rFonts w:ascii="Arial" w:hAnsi="Arial" w:cs="Arial"/>
          <w:sz w:val="14"/>
          <w:szCs w:val="14"/>
        </w:rPr>
        <w:tab/>
        <w:t xml:space="preserve">Less than 1% </w:t>
      </w:r>
    </w:p>
    <w:p w14:paraId="241B7419"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Beneficial ownership represents sole voting and investment power. </w:t>
      </w:r>
    </w:p>
    <w:p w14:paraId="4C41B26E"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For directors, includes shares </w:t>
      </w:r>
      <w:proofErr w:type="gramStart"/>
      <w:r>
        <w:rPr>
          <w:rFonts w:ascii="Arial" w:hAnsi="Arial" w:cs="Arial"/>
          <w:sz w:val="14"/>
          <w:szCs w:val="14"/>
        </w:rPr>
        <w:t>credited</w:t>
      </w:r>
      <w:proofErr w:type="gramEnd"/>
      <w:r>
        <w:rPr>
          <w:rFonts w:ascii="Arial" w:hAnsi="Arial" w:cs="Arial"/>
          <w:sz w:val="14"/>
          <w:szCs w:val="14"/>
        </w:rPr>
        <w:t xml:space="preserve"> under the Deferred Compensation Plan for Non-Employee Directors that may be distributable within 60 days of September 29, 2023: Ms. List, 22,591; Ms. Peterson, 22,867; Ms. Pritzker, 11,527; Mr. Rodriguez, 2,372; Mr. Thompson, 8,519; and Ms. Warrior, 4,187. </w:t>
      </w:r>
    </w:p>
    <w:p w14:paraId="0F670D84"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For directors, includes shares credited under the Deferred Compensation Plan for Non-Employee Directors that are not payable within 60 days following termination of Board service: Mr. Hoffman, 14,270; Mr. Thompson, 60,751, and Ms. Warrior, 92. </w:t>
      </w:r>
    </w:p>
    <w:p w14:paraId="7F7E3579"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For Named Executives, includes (</w:t>
      </w:r>
      <w:proofErr w:type="spellStart"/>
      <w:r>
        <w:rPr>
          <w:rFonts w:ascii="Arial" w:hAnsi="Arial" w:cs="Arial"/>
          <w:sz w:val="14"/>
          <w:szCs w:val="14"/>
        </w:rPr>
        <w:t>i</w:t>
      </w:r>
      <w:proofErr w:type="spellEnd"/>
      <w:r>
        <w:rPr>
          <w:rFonts w:ascii="Arial" w:hAnsi="Arial" w:cs="Arial"/>
          <w:sz w:val="14"/>
          <w:szCs w:val="14"/>
        </w:rPr>
        <w:t xml:space="preserve">) unvested SAs that do not vest within 60 days of September 29, 2023, subject to continued employment at the time of each vest: Ms. Hood, 74,326; Mr. Althoff, 61,806; Mr. Smith, 23,646; and Mr. Young, 53,522. Excludes unvested PSA shares that would vest if an Executive Officer retires from Microsoft. </w:t>
      </w:r>
    </w:p>
    <w:p w14:paraId="27D66FD3"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Includes 15,905 shares held by a family trust. </w:t>
      </w:r>
    </w:p>
    <w:p w14:paraId="688CB7B5"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Excludes 68 shares held by a family trust as to which Mr. Johnston disclaims beneficial ownership. </w:t>
      </w:r>
    </w:p>
    <w:p w14:paraId="79709496"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t xml:space="preserve">Includes 1,541 shares held by a family trust. </w:t>
      </w:r>
    </w:p>
    <w:p w14:paraId="6F0125AA"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(8)</w:t>
      </w:r>
      <w:r>
        <w:rPr>
          <w:rFonts w:ascii="Arial" w:hAnsi="Arial" w:cs="Arial"/>
          <w:sz w:val="14"/>
          <w:szCs w:val="14"/>
        </w:rPr>
        <w:tab/>
        <w:t xml:space="preserve">Includes 12,000 shares held by a family trust. </w:t>
      </w:r>
    </w:p>
    <w:p w14:paraId="1A0EEF9C"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(9)</w:t>
      </w:r>
      <w:r>
        <w:rPr>
          <w:rFonts w:ascii="Arial" w:hAnsi="Arial" w:cs="Arial"/>
          <w:sz w:val="14"/>
          <w:szCs w:val="14"/>
        </w:rPr>
        <w:tab/>
        <w:t xml:space="preserve">Includes 525 shares held by a family trust. </w:t>
      </w:r>
    </w:p>
    <w:p w14:paraId="4A0AE918"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(10)</w:t>
      </w:r>
      <w:r>
        <w:rPr>
          <w:rFonts w:ascii="Arial" w:hAnsi="Arial" w:cs="Arial"/>
          <w:sz w:val="14"/>
          <w:szCs w:val="14"/>
        </w:rPr>
        <w:tab/>
        <w:t xml:space="preserve">Includes 7,243 shares held by a family trust. </w:t>
      </w:r>
    </w:p>
    <w:p w14:paraId="1F9D2B1E"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(11)</w:t>
      </w:r>
      <w:r>
        <w:rPr>
          <w:rFonts w:ascii="Arial" w:hAnsi="Arial" w:cs="Arial"/>
          <w:sz w:val="14"/>
          <w:szCs w:val="14"/>
        </w:rPr>
        <w:tab/>
        <w:t xml:space="preserve">Includes 27,279 shares held by a family trust. </w:t>
      </w:r>
    </w:p>
    <w:p w14:paraId="6B8BD8DD"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(12)</w:t>
      </w:r>
      <w:r>
        <w:rPr>
          <w:rFonts w:ascii="Arial" w:hAnsi="Arial" w:cs="Arial"/>
          <w:sz w:val="14"/>
          <w:szCs w:val="14"/>
        </w:rPr>
        <w:tab/>
        <w:t xml:space="preserve">Includes 1,500 shares held by a living trust. </w:t>
      </w:r>
    </w:p>
    <w:p w14:paraId="6F0B949D"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(13)</w:t>
      </w:r>
      <w:r>
        <w:rPr>
          <w:rFonts w:ascii="Arial" w:hAnsi="Arial" w:cs="Arial"/>
          <w:sz w:val="14"/>
          <w:szCs w:val="14"/>
        </w:rPr>
        <w:tab/>
        <w:t xml:space="preserve">Includes 72,063 shares credited under the Deferred Compensation Plan for Non-Employee Directors that may be distributable within 60 days of September 29, 2023. Excludes 318 shares held by new director nominee, Mr. Mason. </w:t>
      </w:r>
    </w:p>
    <w:p w14:paraId="2A512E77" w14:textId="77777777" w:rsidR="00D246A9" w:rsidRDefault="00D246A9">
      <w:pPr>
        <w:pStyle w:val="NormalWeb"/>
        <w:spacing w:before="240" w:beforeAutospacing="0" w:after="0" w:afterAutospacing="0"/>
        <w:rPr>
          <w:sz w:val="2"/>
          <w:szCs w:val="2"/>
        </w:rPr>
      </w:pPr>
      <w:r>
        <w:rPr>
          <w:sz w:val="2"/>
          <w:szCs w:val="2"/>
        </w:rPr>
        <w:t> </w:t>
      </w:r>
    </w:p>
    <w:p w14:paraId="0244A853" w14:textId="77777777" w:rsidR="006B4A60" w:rsidRDefault="006B4A60">
      <w:pPr>
        <w:rPr>
          <w:rFonts w:ascii="Arial" w:hAnsi="Arial" w:cs="Arial"/>
          <w:b/>
          <w:bCs/>
          <w:sz w:val="50"/>
          <w:szCs w:val="50"/>
        </w:rPr>
      </w:pPr>
      <w:r>
        <w:rPr>
          <w:rFonts w:ascii="Arial" w:hAnsi="Arial" w:cs="Arial"/>
          <w:b/>
          <w:bCs/>
          <w:sz w:val="50"/>
          <w:szCs w:val="50"/>
        </w:rPr>
        <w:br w:type="page"/>
      </w:r>
    </w:p>
    <w:p w14:paraId="07706692" w14:textId="0E80E7AE" w:rsidR="00D246A9" w:rsidRDefault="00D246A9">
      <w:pPr>
        <w:pStyle w:val="NormalWeb"/>
        <w:spacing w:before="0" w:beforeAutospacing="0" w:after="0" w:afterAutospacing="0"/>
        <w:rPr>
          <w:rFonts w:ascii="Arial" w:hAnsi="Arial" w:cs="Arial"/>
          <w:sz w:val="50"/>
          <w:szCs w:val="50"/>
        </w:rPr>
      </w:pPr>
      <w:r>
        <w:rPr>
          <w:rFonts w:ascii="Arial" w:hAnsi="Arial" w:cs="Arial"/>
          <w:b/>
          <w:bCs/>
          <w:sz w:val="50"/>
          <w:szCs w:val="50"/>
        </w:rPr>
        <w:lastRenderedPageBreak/>
        <w:t xml:space="preserve">3. Audit Committee Matters </w:t>
      </w:r>
    </w:p>
    <w:p w14:paraId="7E1BB29F" w14:textId="77777777" w:rsidR="00D246A9" w:rsidRDefault="00D246A9">
      <w:pPr>
        <w:pStyle w:val="NormalWeb"/>
        <w:keepNext/>
        <w:spacing w:before="0" w:beforeAutospacing="0" w:after="0" w:afterAutospacing="0"/>
        <w:rPr>
          <w:sz w:val="16"/>
          <w:szCs w:val="16"/>
        </w:rPr>
      </w:pPr>
      <w:r>
        <w:rPr>
          <w:sz w:val="16"/>
          <w:szCs w:val="16"/>
        </w:rPr>
        <w:t> </w:t>
      </w:r>
    </w:p>
    <w:p w14:paraId="07A077D3" w14:textId="77777777" w:rsidR="00D246A9" w:rsidRDefault="00D246A9">
      <w:pPr>
        <w:pStyle w:val="rrdsinglerule"/>
        <w:pBdr>
          <w:top w:val="single" w:sz="6" w:space="0" w:color="0075C9"/>
        </w:pBdr>
        <w:spacing w:before="240"/>
        <w:rPr>
          <w:sz w:val="24"/>
          <w:szCs w:val="24"/>
        </w:rPr>
      </w:pPr>
      <w:r>
        <w:t> </w:t>
      </w:r>
    </w:p>
    <w:p w14:paraId="32218915" w14:textId="77777777" w:rsidR="00D246A9" w:rsidRDefault="00D246A9" w:rsidP="00B4165A">
      <w:pPr>
        <w:pStyle w:val="Heading3"/>
      </w:pPr>
      <w:bookmarkStart w:id="27" w:name="toc356108_28"/>
      <w:bookmarkEnd w:id="27"/>
      <w:r>
        <w:t xml:space="preserve">Audit Committee Report </w:t>
      </w:r>
    </w:p>
    <w:p w14:paraId="4B94C3A5" w14:textId="77777777" w:rsidR="00D246A9" w:rsidRDefault="00D246A9" w:rsidP="008E18EB">
      <w:pPr>
        <w:pStyle w:val="Heading4"/>
      </w:pPr>
      <w:r>
        <w:t xml:space="preserve">Charter and Responsibilities </w:t>
      </w:r>
    </w:p>
    <w:p w14:paraId="252262B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operates under a written charter adopted by the Board of Directors. It is available on our website at </w:t>
      </w:r>
      <w:r>
        <w:rPr>
          <w:rFonts w:ascii="Arial" w:hAnsi="Arial" w:cs="Arial"/>
          <w:sz w:val="18"/>
          <w:szCs w:val="18"/>
          <w:u w:val="single"/>
        </w:rPr>
        <w:t>aka.ms/policiesandguidelines</w:t>
      </w:r>
      <w:r>
        <w:rPr>
          <w:rFonts w:ascii="Arial" w:hAnsi="Arial" w:cs="Arial"/>
          <w:sz w:val="18"/>
          <w:szCs w:val="18"/>
        </w:rPr>
        <w:t xml:space="preserve">. The charter, which was last amended effective July 1, 2023, includes a calendar that outlines the Committee’s duties and responsibilities. The Committee reviews the charter and calendar annually and works with the Board of Directors to amend them as appropriate to reflect the evolving role of the Committee. </w:t>
      </w:r>
    </w:p>
    <w:p w14:paraId="3330DA4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has the ultimate authority for effective corporate governance, including oversight of the management of Microsoft. The Audit Committee assists the Board in fulfilling its responsibilities by overseeing the accounting and financial reporting processes of Microsoft, the audits of Microsoft’s consolidated financial statements and internal control over financial reporting, the qualifications and performance of the independent registered public accounting firm engaged as Microsoft’s independent auditor, and the performance of Microsoft’s internal auditor. </w:t>
      </w:r>
    </w:p>
    <w:p w14:paraId="74335FB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relies on the expertise and knowledge of management, the internal auditor, and the independent auditor in carrying out its oversight responsibilities. Management is responsible for the preparation, presentation, and integrity of Microsoft’s consolidated financial statements, accounting and financial reporting principles, internal control over financial reporting, and disclosure controls and procedures designed to ensure compliance with accounting standards, applicable laws, and regulations. Management is also responsible for objectively reviewing and evaluating the adequacy, effectiveness, and quality of Microsoft’s system of internal control. Microsoft’s independent auditor, Deloitte &amp; Touche LLP (“Deloitte &amp; Touche”), is responsible for performing an independent audit of the consolidated financial statements and expressing an opinion on the conformity of those financial statements with accounting principles generally accepted in the United States of America (“GAAP”). The independent auditor is also responsible for expressing an opinion on the effectiveness of Microsoft’s internal control over financial reporting. </w:t>
      </w:r>
    </w:p>
    <w:p w14:paraId="71EBBB9B" w14:textId="77777777" w:rsidR="00D246A9" w:rsidRDefault="00D246A9" w:rsidP="008E18EB">
      <w:pPr>
        <w:pStyle w:val="Heading4"/>
      </w:pPr>
      <w:r>
        <w:t xml:space="preserve">Fiscal Year 2023 Activity </w:t>
      </w:r>
    </w:p>
    <w:p w14:paraId="7B891820"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During fiscal year 2023, the Audit Committee fulfilled its duties and responsibilities as outlined in the charter and the accompanying calendar. The Committee meets twice each </w:t>
      </w:r>
      <w:proofErr w:type="gramStart"/>
      <w:r>
        <w:rPr>
          <w:rFonts w:ascii="Arial" w:hAnsi="Arial" w:cs="Arial"/>
          <w:sz w:val="18"/>
          <w:szCs w:val="18"/>
        </w:rPr>
        <w:t>quarter;</w:t>
      </w:r>
      <w:proofErr w:type="gramEnd"/>
      <w:r>
        <w:rPr>
          <w:rFonts w:ascii="Arial" w:hAnsi="Arial" w:cs="Arial"/>
          <w:sz w:val="18"/>
          <w:szCs w:val="18"/>
        </w:rPr>
        <w:t xml:space="preserve"> once in connection with quarterly Board of Directors meetings and once </w:t>
      </w:r>
      <w:proofErr w:type="gramStart"/>
      <w:r>
        <w:rPr>
          <w:rFonts w:ascii="Arial" w:hAnsi="Arial" w:cs="Arial"/>
          <w:sz w:val="18"/>
          <w:szCs w:val="18"/>
        </w:rPr>
        <w:t>to review</w:t>
      </w:r>
      <w:proofErr w:type="gramEnd"/>
      <w:r>
        <w:rPr>
          <w:rFonts w:ascii="Arial" w:hAnsi="Arial" w:cs="Arial"/>
          <w:sz w:val="18"/>
          <w:szCs w:val="18"/>
        </w:rPr>
        <w:t xml:space="preserve"> the quarterly Form 10-Q or annual Form 10-K. In addition, the Committee meets as needed to address emerging accounting, compliance, or other matters, or for educational training. Specifically, the Committee: </w:t>
      </w:r>
    </w:p>
    <w:p w14:paraId="556F7657"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discussed with management and the independent auditor Microsoft’s quarterly earnings press releases, consolidated financial statements, and related periodic reports filed with the Securities and Exchange Commission (“SEC”) </w:t>
      </w:r>
    </w:p>
    <w:p w14:paraId="301BC50B"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discussed with management, the internal auditor, and the independent auditor, management’s assessment of the effectiveness of the Company’s internal control over financial reporting and the independent auditor’s opinion about the effectiveness of Microsoft’s internal control over financial reporting </w:t>
      </w:r>
    </w:p>
    <w:p w14:paraId="3462FDE1"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discussed with management, the internal auditor, and the independent auditor, as appropriate, the audit scopes and plans of both the internal auditor and the independent auditor </w:t>
      </w:r>
    </w:p>
    <w:p w14:paraId="54B27422"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Inquired about significant business and financial reporting risks, reviewed Microsoft’s policies for risk assessment and risk management, and assessed the steps management is taking to control these risks </w:t>
      </w:r>
    </w:p>
    <w:p w14:paraId="5D1E1C8F"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Met in periodic executive sessions with each of management, the internal auditor, and the independent auditor to discuss the results of the examinations by the independent and internal auditors, their evaluations of internal controls, and the overall quality of the Company’s financial reporting, and any other matters as appropriate </w:t>
      </w:r>
    </w:p>
    <w:p w14:paraId="673A7C7A"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Met with the CEO and CFO to discuss the processes they have undertaken to evaluate the accuracy and fair presentation of the Company’s consolidated financial statements and the effectiveness of the Company’s systems of disclosure controls and procedures and internal control over financial reporting </w:t>
      </w:r>
    </w:p>
    <w:p w14:paraId="57D393CB" w14:textId="3D42463B" w:rsidR="00D246A9" w:rsidRPr="00B0053B"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Reviewed with management and the independent auditor the Company’s critical accounting policies, significant changes in the selection or application of accounting principles, the effect of regulatory and accounting initiatives on the Company’s consolidated financial statements, and critical audit matters addressed during the audit </w:t>
      </w:r>
    </w:p>
    <w:p w14:paraId="6AD9A610"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Reviewed the Company’s related party transactions and Policy for Related Party Transactions </w:t>
      </w:r>
    </w:p>
    <w:p w14:paraId="3AC4B36B"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Received reports about the receipt, retention, and treatment of financial reporting and other compliance concerns </w:t>
      </w:r>
    </w:p>
    <w:p w14:paraId="2723D03D"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assessed the qualitative aspects of the Company’s compliance and ethics programs </w:t>
      </w:r>
    </w:p>
    <w:p w14:paraId="23F868C3"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Reviewed with the Chief Compliance Officer legal and regulatory matters that may have a material impact on the consolidated financial statements or internal control over financial reporting </w:t>
      </w:r>
    </w:p>
    <w:p w14:paraId="6B9A5AFD" w14:textId="77777777" w:rsidR="008E18EB" w:rsidRDefault="008E18EB">
      <w:pPr>
        <w:rPr>
          <w:rFonts w:ascii="Arial" w:hAnsi="Arial" w:cs="Arial"/>
          <w:b/>
          <w:bCs/>
          <w:szCs w:val="24"/>
        </w:rPr>
      </w:pPr>
      <w:r>
        <w:br w:type="page"/>
      </w:r>
    </w:p>
    <w:p w14:paraId="0BD7C7F3" w14:textId="62AEEBD6" w:rsidR="00D246A9" w:rsidRDefault="00D246A9" w:rsidP="008E18EB">
      <w:pPr>
        <w:pStyle w:val="Heading4"/>
      </w:pPr>
      <w:r>
        <w:lastRenderedPageBreak/>
        <w:t xml:space="preserve">Fiscal Year 2023 Financial Statements </w:t>
      </w:r>
    </w:p>
    <w:p w14:paraId="701E773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has reviewed and discussed with management and the independent auditor Microsoft’s audited consolidated financial statements and related footnotes for the fiscal year ended June 30, 2023, and the independent auditor’s report on those financial statements. Management represented to the Committee that Microsoft’s consolidated financial statements were prepared in accordance with GAAP. Deloitte &amp; Touche presented the matters required to be discussed with the Committee by Public Company Accounting Oversight Board (“PCAOB”) standards and Rule 2-07 of SEC Regulation S-X. This review included a discussion with management and the independent auditor of the quality (not merely the acceptability) of Microsoft’s accounting principles, the reasonableness of significant estimates and judgments, and the disclosures in Microsoft’s consolidated financial statements, including the disclosures relating to critical accounting policies. </w:t>
      </w:r>
    </w:p>
    <w:p w14:paraId="5BD04CD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Based on the reviews and discussions described above, the Audit Committee recommended to the Board of Directors that the audited consolidated financial statements be included in Microsoft’s Annual Report on Form 10-K for the fiscal year ended June 30, 2023, for filing with the SEC. </w:t>
      </w:r>
    </w:p>
    <w:p w14:paraId="61201E61" w14:textId="77777777" w:rsidR="00D246A9" w:rsidRDefault="00D246A9" w:rsidP="008E18EB">
      <w:pPr>
        <w:pStyle w:val="Heading4"/>
      </w:pPr>
      <w:r>
        <w:t xml:space="preserve">Independent Auditor Tenure and Rotation </w:t>
      </w:r>
    </w:p>
    <w:p w14:paraId="283A6660"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As part of its auditor engagement process, the Audit Committee considers whether to rotate the independent audit firm. Deloitte &amp; Touche has been Microsoft’s independent auditor since the Company’s initial public offering in 1986. Deloitte rotates its lead audit engagement partner every five years; the Audit Committee interviews proposed candidates and selects the lead audit engagement partner. The Committee selected the current Deloitte &amp; Touche lead audit engagement partner beginning with the fiscal year 2020 audit. The Audit Committee believes there are significant benefits to having an independent auditor with an extensive history with the Company. These include: </w:t>
      </w:r>
    </w:p>
    <w:p w14:paraId="6376435F"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Higher quality audit work and accounting advice due to Deloitte &amp; Touche’s institutional knowledge of our business and operations, accounting policies and financial systems, and internal control framework </w:t>
      </w:r>
    </w:p>
    <w:p w14:paraId="4B036CD3"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Operational efficiencies and a resulting lower fee structure because of Deloitte &amp; Touche’s history and familiarity with our business </w:t>
      </w:r>
    </w:p>
    <w:p w14:paraId="5D72C845" w14:textId="77777777" w:rsidR="00D246A9" w:rsidRDefault="00D246A9" w:rsidP="008E18EB">
      <w:pPr>
        <w:pStyle w:val="Heading4"/>
      </w:pPr>
      <w:r>
        <w:t xml:space="preserve">Independence and Performance of Outside Audit Firm </w:t>
      </w:r>
    </w:p>
    <w:p w14:paraId="1779F54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recognizes the importance of maintaining the independence of Microsoft’s independent auditor, both in fact and appearance, and takes a number of measures to ensure independence. The Committee leads the selection of the lead audit engagement partner, working with Deloitte &amp; Touche with input from management. The Committee has established a policy pursuant to which all services, audit and non-audit, provided by the independent auditor must be pre-approved by the Committee or its delegate. This policy prohibits the independent auditor from providing non-audit services such as bookkeeping or financial systems design and implementation. The Company’s pre-approval policy is more fully described below in this Part 3 – Policy on Audit Committee Pre-Approval of Audit and Permissible Non-Audit Services of Independent Auditor. The Committee has concluded that the amount and nature of those services provided was compatible with maintaining the independence of Deloitte &amp; Touche. In addition, Deloitte &amp; Touche has provided the Committee with the written disclosures and letter required by applicable requirements of the PCAOB regarding the independent accountant’s communications with the Audit Committee concerning independence. The Committee has reviewed these materials and discussed the firm’s independence with Deloitte &amp; Touche. </w:t>
      </w:r>
    </w:p>
    <w:p w14:paraId="3CC47CF0"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As provided in its charter, in addition to evaluating Deloitte &amp; Touche’s independence, the Audit Committee performed its annual assessment of Deloitte &amp; Touche’s performance as independent auditor during fiscal year 2023. The Committee assessed the performance of the Deloitte &amp; Touche lead audit engagement partner and the audit team. The Committee reviewed a variety of indicators of audit quality including: </w:t>
      </w:r>
    </w:p>
    <w:p w14:paraId="58F9E797"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The quality and candor of Deloitte &amp; Touche’s communications with the Audit Committee and management </w:t>
      </w:r>
    </w:p>
    <w:p w14:paraId="723294F3" w14:textId="230DF37A" w:rsidR="00D246A9" w:rsidRPr="00B0053B"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How effectively Deloitte &amp; Touche maintained its independence and employed its independent judgment, objectivity, and professional skepticism </w:t>
      </w:r>
    </w:p>
    <w:p w14:paraId="19893154"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The level of engagement and value provided by the Deloitte &amp; Touche national office </w:t>
      </w:r>
    </w:p>
    <w:p w14:paraId="3F363184"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The depth and expertise of the global Deloitte &amp; Touche audit team </w:t>
      </w:r>
    </w:p>
    <w:p w14:paraId="1D16722B"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The quality of insight demonstrated in Deloitte &amp; Touche’s review of the Company’s assessment of internal control over financial reporting and remediation of control deficiencies </w:t>
      </w:r>
    </w:p>
    <w:p w14:paraId="01268D9A"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Available external data about quality and performance, including reports of the PCAOB on Deloitte &amp; Touche and its peer firms and Deloitte &amp; Touche’s response to those reports </w:t>
      </w:r>
    </w:p>
    <w:p w14:paraId="3F130657"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The appropriateness of Deloitte &amp; Touche’s fees, </w:t>
      </w:r>
      <w:proofErr w:type="gramStart"/>
      <w:r>
        <w:rPr>
          <w:rFonts w:ascii="Arial" w:hAnsi="Arial" w:cs="Arial"/>
          <w:sz w:val="18"/>
          <w:szCs w:val="18"/>
        </w:rPr>
        <w:t>taking into account</w:t>
      </w:r>
      <w:proofErr w:type="gramEnd"/>
      <w:r>
        <w:rPr>
          <w:rFonts w:ascii="Arial" w:hAnsi="Arial" w:cs="Arial"/>
          <w:sz w:val="18"/>
          <w:szCs w:val="18"/>
        </w:rPr>
        <w:t xml:space="preserve"> the size and complexity of the Company and the resources necessary to perform the audit </w:t>
      </w:r>
    </w:p>
    <w:p w14:paraId="57E716B1"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Deloitte &amp; Touche’s knowledge of our global operations, accounting policies and practices, and internal control over financial reporting </w:t>
      </w:r>
    </w:p>
    <w:p w14:paraId="575E567F" w14:textId="77777777" w:rsidR="00D246A9" w:rsidRDefault="00D246A9" w:rsidP="00B0053B">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Deloitte &amp; Touche’s tenure as the Company’s independent auditor and safeguards in place to maintain its independence </w:t>
      </w:r>
    </w:p>
    <w:p w14:paraId="7DA923DF" w14:textId="77777777" w:rsidR="008E18EB" w:rsidRDefault="008E18EB">
      <w:pPr>
        <w:rPr>
          <w:rFonts w:ascii="Arial" w:hAnsi="Arial" w:cs="Arial"/>
          <w:b/>
          <w:bCs/>
          <w:szCs w:val="24"/>
        </w:rPr>
      </w:pPr>
      <w:r>
        <w:br w:type="page"/>
      </w:r>
    </w:p>
    <w:p w14:paraId="592929F1" w14:textId="729C9FBE" w:rsidR="00D246A9" w:rsidRDefault="00D246A9" w:rsidP="008E18EB">
      <w:pPr>
        <w:pStyle w:val="Heading4"/>
      </w:pPr>
      <w:r>
        <w:lastRenderedPageBreak/>
        <w:t xml:space="preserve">Recommendation of Deloitte &amp; Touche as Independent Audit Firm for Fiscal Year 2024 </w:t>
      </w:r>
    </w:p>
    <w:p w14:paraId="1B3ADA4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As a result of its evaluation, the Audit Committee concluded that the selection of Deloitte &amp; Touche as the independent registered public accounting firm for fiscal year 2024 is in the best interest of the Company and its shareholders. </w:t>
      </w:r>
    </w:p>
    <w:p w14:paraId="3BD53D9F" w14:textId="77777777" w:rsidR="00D246A9" w:rsidRDefault="00D246A9">
      <w:pPr>
        <w:pStyle w:val="NormalWeb"/>
        <w:spacing w:before="240" w:beforeAutospacing="0" w:after="0" w:afterAutospacing="0"/>
        <w:rPr>
          <w:rFonts w:ascii="Arial" w:hAnsi="Arial" w:cs="Arial"/>
          <w:sz w:val="18"/>
          <w:szCs w:val="18"/>
        </w:rPr>
      </w:pPr>
      <w:r>
        <w:rPr>
          <w:rFonts w:ascii="Arial" w:hAnsi="Arial" w:cs="Arial"/>
          <w:b/>
          <w:bCs/>
          <w:sz w:val="18"/>
          <w:szCs w:val="18"/>
        </w:rPr>
        <w:t xml:space="preserve">Audit Committee </w:t>
      </w:r>
    </w:p>
    <w:p w14:paraId="7EA9D673"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Hugh F. Johnston (Chair) </w:t>
      </w:r>
    </w:p>
    <w:p w14:paraId="5494E3E0"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Teri L. List </w:t>
      </w:r>
    </w:p>
    <w:p w14:paraId="6EF6EA01"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Carlos A. Rodriguez </w:t>
      </w:r>
    </w:p>
    <w:p w14:paraId="117C1C35"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John W. Stanton </w:t>
      </w:r>
    </w:p>
    <w:p w14:paraId="6152C9D6" w14:textId="77777777" w:rsidR="00D246A9" w:rsidRDefault="00D246A9">
      <w:pPr>
        <w:pStyle w:val="rrdsinglerule"/>
        <w:pBdr>
          <w:top w:val="single" w:sz="6" w:space="0" w:color="0075C9"/>
        </w:pBdr>
        <w:spacing w:before="480"/>
        <w:rPr>
          <w:sz w:val="24"/>
          <w:szCs w:val="24"/>
        </w:rPr>
      </w:pPr>
      <w:r>
        <w:t xml:space="preserve">  </w:t>
      </w:r>
    </w:p>
    <w:p w14:paraId="4015F381" w14:textId="77777777" w:rsidR="00D246A9" w:rsidRDefault="00D246A9" w:rsidP="00B4165A">
      <w:pPr>
        <w:pStyle w:val="Heading3"/>
      </w:pPr>
      <w:bookmarkStart w:id="28" w:name="toc356108_29"/>
      <w:bookmarkEnd w:id="28"/>
      <w:r>
        <w:t xml:space="preserve">Fees Billed by Deloitte &amp; Touche </w:t>
      </w:r>
    </w:p>
    <w:p w14:paraId="252B70C2"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table presents fees for professional audit and other services rendered by Deloitte &amp; Touche for the fiscal years 2023 and 2022. </w:t>
      </w:r>
    </w:p>
    <w:p w14:paraId="0E91949A"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7872"/>
        <w:gridCol w:w="1324"/>
        <w:gridCol w:w="1604"/>
      </w:tblGrid>
      <w:tr w:rsidR="00D246A9" w14:paraId="40301C58" w14:textId="77777777" w:rsidTr="00FE0A0A">
        <w:trPr>
          <w:cantSplit/>
          <w:tblHeader/>
        </w:trPr>
        <w:tc>
          <w:tcPr>
            <w:tcW w:w="7872" w:type="dxa"/>
            <w:tcBorders>
              <w:bottom w:val="single" w:sz="8" w:space="0" w:color="000000"/>
            </w:tcBorders>
            <w:tcMar>
              <w:top w:w="0" w:type="dxa"/>
              <w:left w:w="0" w:type="dxa"/>
              <w:bottom w:w="40" w:type="dxa"/>
              <w:right w:w="0" w:type="dxa"/>
            </w:tcMar>
            <w:vAlign w:val="bottom"/>
            <w:hideMark/>
          </w:tcPr>
          <w:p w14:paraId="7B50B4EC"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Year ended June</w:t>
            </w:r>
            <w:r>
              <w:rPr>
                <w:rFonts w:ascii="Arial" w:hAnsi="Arial" w:cs="Arial"/>
                <w:b/>
                <w:bCs/>
                <w:caps/>
                <w:sz w:val="18"/>
                <w:szCs w:val="18"/>
              </w:rPr>
              <w:t> 30,</w:t>
            </w:r>
          </w:p>
        </w:tc>
        <w:tc>
          <w:tcPr>
            <w:tcW w:w="1324" w:type="dxa"/>
            <w:tcBorders>
              <w:bottom w:val="single" w:sz="8" w:space="0" w:color="000000"/>
            </w:tcBorders>
            <w:tcMar>
              <w:top w:w="0" w:type="dxa"/>
              <w:left w:w="144" w:type="dxa"/>
              <w:bottom w:w="0" w:type="dxa"/>
              <w:right w:w="0" w:type="dxa"/>
            </w:tcMar>
            <w:vAlign w:val="bottom"/>
            <w:hideMark/>
          </w:tcPr>
          <w:p w14:paraId="6239C8AE" w14:textId="77777777" w:rsidR="00D246A9" w:rsidRDefault="00D246A9">
            <w:pPr>
              <w:jc w:val="right"/>
              <w:rPr>
                <w:rFonts w:ascii="Arial" w:hAnsi="Arial" w:cs="Arial"/>
                <w:sz w:val="18"/>
                <w:szCs w:val="18"/>
              </w:rPr>
            </w:pPr>
            <w:r>
              <w:rPr>
                <w:rFonts w:ascii="Arial" w:hAnsi="Arial" w:cs="Arial"/>
                <w:b/>
                <w:bCs/>
                <w:caps/>
                <w:sz w:val="18"/>
                <w:szCs w:val="18"/>
              </w:rPr>
              <w:t>2023</w:t>
            </w:r>
          </w:p>
        </w:tc>
        <w:tc>
          <w:tcPr>
            <w:tcW w:w="1604" w:type="dxa"/>
            <w:tcBorders>
              <w:bottom w:val="single" w:sz="8" w:space="0" w:color="000000"/>
            </w:tcBorders>
            <w:tcMar>
              <w:top w:w="0" w:type="dxa"/>
              <w:left w:w="144" w:type="dxa"/>
              <w:bottom w:w="0" w:type="dxa"/>
              <w:right w:w="0" w:type="dxa"/>
            </w:tcMar>
            <w:vAlign w:val="bottom"/>
            <w:hideMark/>
          </w:tcPr>
          <w:p w14:paraId="5DD49A4B" w14:textId="77777777" w:rsidR="00D246A9" w:rsidRDefault="00D246A9">
            <w:pPr>
              <w:jc w:val="right"/>
              <w:rPr>
                <w:rFonts w:ascii="Arial" w:hAnsi="Arial" w:cs="Arial"/>
                <w:sz w:val="18"/>
                <w:szCs w:val="18"/>
              </w:rPr>
            </w:pPr>
            <w:r>
              <w:rPr>
                <w:rFonts w:ascii="Arial" w:hAnsi="Arial" w:cs="Arial"/>
                <w:b/>
                <w:bCs/>
                <w:caps/>
                <w:sz w:val="18"/>
                <w:szCs w:val="18"/>
              </w:rPr>
              <w:t>2022</w:t>
            </w:r>
          </w:p>
        </w:tc>
      </w:tr>
      <w:tr w:rsidR="00D246A9" w14:paraId="1BD3D44F" w14:textId="77777777" w:rsidTr="00FE0A0A">
        <w:trPr>
          <w:cantSplit/>
        </w:trPr>
        <w:tc>
          <w:tcPr>
            <w:tcW w:w="7872" w:type="dxa"/>
            <w:tcBorders>
              <w:bottom w:val="single" w:sz="6" w:space="0" w:color="0075C9"/>
            </w:tcBorders>
            <w:tcMar>
              <w:top w:w="0" w:type="dxa"/>
              <w:left w:w="0" w:type="dxa"/>
              <w:bottom w:w="40" w:type="dxa"/>
              <w:right w:w="0" w:type="dxa"/>
            </w:tcMar>
            <w:hideMark/>
          </w:tcPr>
          <w:p w14:paraId="021DB155"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Audit Fees</w:t>
            </w:r>
          </w:p>
        </w:tc>
        <w:tc>
          <w:tcPr>
            <w:tcW w:w="1324" w:type="dxa"/>
            <w:tcBorders>
              <w:bottom w:val="single" w:sz="6" w:space="0" w:color="0075C9"/>
            </w:tcBorders>
            <w:noWrap/>
            <w:tcMar>
              <w:top w:w="0" w:type="dxa"/>
              <w:left w:w="144" w:type="dxa"/>
              <w:bottom w:w="0" w:type="dxa"/>
              <w:right w:w="0" w:type="dxa"/>
            </w:tcMar>
            <w:vAlign w:val="bottom"/>
            <w:hideMark/>
          </w:tcPr>
          <w:p w14:paraId="4828B317"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$45,630,000</w:t>
            </w:r>
            <w:r>
              <w:rPr>
                <w:rFonts w:ascii="Arial" w:hAnsi="Arial" w:cs="Arial"/>
                <w:sz w:val="18"/>
                <w:szCs w:val="18"/>
              </w:rPr>
              <w:tab/>
            </w:r>
          </w:p>
        </w:tc>
        <w:tc>
          <w:tcPr>
            <w:tcW w:w="1604" w:type="dxa"/>
            <w:tcBorders>
              <w:bottom w:val="single" w:sz="6" w:space="0" w:color="0075C9"/>
            </w:tcBorders>
            <w:noWrap/>
            <w:tcMar>
              <w:top w:w="0" w:type="dxa"/>
              <w:left w:w="144" w:type="dxa"/>
              <w:bottom w:w="0" w:type="dxa"/>
              <w:right w:w="0" w:type="dxa"/>
            </w:tcMar>
            <w:vAlign w:val="bottom"/>
            <w:hideMark/>
          </w:tcPr>
          <w:p w14:paraId="5C6B4F73" w14:textId="77777777" w:rsidR="00D246A9" w:rsidRDefault="00D246A9">
            <w:pPr>
              <w:pStyle w:val="NormalWeb"/>
              <w:tabs>
                <w:tab w:val="right" w:pos="1420"/>
                <w:tab w:val="decimal" w:pos="1460"/>
              </w:tabs>
              <w:spacing w:before="0" w:beforeAutospacing="0" w:after="20" w:afterAutospacing="0"/>
              <w:rPr>
                <w:rFonts w:ascii="Arial" w:hAnsi="Arial" w:cs="Arial"/>
                <w:sz w:val="18"/>
                <w:szCs w:val="18"/>
              </w:rPr>
            </w:pPr>
            <w:r>
              <w:rPr>
                <w:rFonts w:ascii="Arial" w:hAnsi="Arial" w:cs="Arial"/>
                <w:sz w:val="18"/>
                <w:szCs w:val="18"/>
              </w:rPr>
              <w:tab/>
              <w:t>$43,345,000</w:t>
            </w:r>
            <w:r>
              <w:rPr>
                <w:rFonts w:ascii="Arial" w:hAnsi="Arial" w:cs="Arial"/>
                <w:sz w:val="18"/>
                <w:szCs w:val="18"/>
              </w:rPr>
              <w:tab/>
            </w:r>
          </w:p>
        </w:tc>
      </w:tr>
      <w:tr w:rsidR="00D246A9" w14:paraId="5C2A2A6E" w14:textId="77777777" w:rsidTr="00FE0A0A">
        <w:trPr>
          <w:cantSplit/>
        </w:trPr>
        <w:tc>
          <w:tcPr>
            <w:tcW w:w="7872" w:type="dxa"/>
            <w:tcBorders>
              <w:bottom w:val="single" w:sz="6" w:space="0" w:color="0075C9"/>
            </w:tcBorders>
            <w:tcMar>
              <w:top w:w="0" w:type="dxa"/>
              <w:left w:w="0" w:type="dxa"/>
              <w:bottom w:w="40" w:type="dxa"/>
              <w:right w:w="0" w:type="dxa"/>
            </w:tcMar>
            <w:hideMark/>
          </w:tcPr>
          <w:p w14:paraId="3F75882F"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Audit-Related Fees</w:t>
            </w:r>
          </w:p>
        </w:tc>
        <w:tc>
          <w:tcPr>
            <w:tcW w:w="1324" w:type="dxa"/>
            <w:tcBorders>
              <w:bottom w:val="single" w:sz="6" w:space="0" w:color="0075C9"/>
            </w:tcBorders>
            <w:noWrap/>
            <w:tcMar>
              <w:top w:w="0" w:type="dxa"/>
              <w:left w:w="144" w:type="dxa"/>
              <w:bottom w:w="0" w:type="dxa"/>
              <w:right w:w="0" w:type="dxa"/>
            </w:tcMar>
            <w:vAlign w:val="bottom"/>
            <w:hideMark/>
          </w:tcPr>
          <w:p w14:paraId="1AF653E2"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10,713,000</w:t>
            </w:r>
            <w:r>
              <w:rPr>
                <w:rFonts w:ascii="Arial" w:hAnsi="Arial" w:cs="Arial"/>
                <w:sz w:val="18"/>
                <w:szCs w:val="18"/>
              </w:rPr>
              <w:tab/>
            </w:r>
          </w:p>
        </w:tc>
        <w:tc>
          <w:tcPr>
            <w:tcW w:w="1604" w:type="dxa"/>
            <w:tcBorders>
              <w:bottom w:val="single" w:sz="6" w:space="0" w:color="0075C9"/>
            </w:tcBorders>
            <w:noWrap/>
            <w:tcMar>
              <w:top w:w="0" w:type="dxa"/>
              <w:left w:w="144" w:type="dxa"/>
              <w:bottom w:w="0" w:type="dxa"/>
              <w:right w:w="0" w:type="dxa"/>
            </w:tcMar>
            <w:vAlign w:val="bottom"/>
            <w:hideMark/>
          </w:tcPr>
          <w:p w14:paraId="76FCD2A6" w14:textId="77777777" w:rsidR="00D246A9" w:rsidRDefault="00D246A9">
            <w:pPr>
              <w:pStyle w:val="NormalWeb"/>
              <w:tabs>
                <w:tab w:val="right" w:pos="1420"/>
                <w:tab w:val="decimal" w:pos="1460"/>
              </w:tabs>
              <w:spacing w:before="0" w:beforeAutospacing="0" w:after="20" w:afterAutospacing="0"/>
              <w:rPr>
                <w:rFonts w:ascii="Arial" w:hAnsi="Arial" w:cs="Arial"/>
                <w:sz w:val="18"/>
                <w:szCs w:val="18"/>
              </w:rPr>
            </w:pPr>
            <w:r>
              <w:rPr>
                <w:rFonts w:ascii="Arial" w:hAnsi="Arial" w:cs="Arial"/>
                <w:sz w:val="18"/>
                <w:szCs w:val="18"/>
              </w:rPr>
              <w:tab/>
              <w:t>9,617,000</w:t>
            </w:r>
            <w:r>
              <w:rPr>
                <w:rFonts w:ascii="Arial" w:hAnsi="Arial" w:cs="Arial"/>
                <w:sz w:val="18"/>
                <w:szCs w:val="18"/>
              </w:rPr>
              <w:tab/>
            </w:r>
          </w:p>
        </w:tc>
      </w:tr>
      <w:tr w:rsidR="00D246A9" w14:paraId="7B61A43A" w14:textId="77777777" w:rsidTr="00FE0A0A">
        <w:trPr>
          <w:cantSplit/>
        </w:trPr>
        <w:tc>
          <w:tcPr>
            <w:tcW w:w="7872" w:type="dxa"/>
            <w:tcBorders>
              <w:bottom w:val="single" w:sz="6" w:space="0" w:color="0075C9"/>
            </w:tcBorders>
            <w:tcMar>
              <w:top w:w="0" w:type="dxa"/>
              <w:left w:w="0" w:type="dxa"/>
              <w:bottom w:w="40" w:type="dxa"/>
              <w:right w:w="0" w:type="dxa"/>
            </w:tcMar>
            <w:hideMark/>
          </w:tcPr>
          <w:p w14:paraId="52D43330"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Tax Fees</w:t>
            </w:r>
          </w:p>
        </w:tc>
        <w:tc>
          <w:tcPr>
            <w:tcW w:w="1324" w:type="dxa"/>
            <w:tcBorders>
              <w:bottom w:val="single" w:sz="6" w:space="0" w:color="0075C9"/>
            </w:tcBorders>
            <w:noWrap/>
            <w:tcMar>
              <w:top w:w="0" w:type="dxa"/>
              <w:left w:w="144" w:type="dxa"/>
              <w:bottom w:w="0" w:type="dxa"/>
              <w:right w:w="0" w:type="dxa"/>
            </w:tcMar>
            <w:vAlign w:val="bottom"/>
            <w:hideMark/>
          </w:tcPr>
          <w:p w14:paraId="31BC949A"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5,049,000</w:t>
            </w:r>
            <w:r>
              <w:rPr>
                <w:rFonts w:ascii="Arial" w:hAnsi="Arial" w:cs="Arial"/>
                <w:sz w:val="18"/>
                <w:szCs w:val="18"/>
              </w:rPr>
              <w:tab/>
            </w:r>
          </w:p>
        </w:tc>
        <w:tc>
          <w:tcPr>
            <w:tcW w:w="1604" w:type="dxa"/>
            <w:tcBorders>
              <w:bottom w:val="single" w:sz="6" w:space="0" w:color="0075C9"/>
            </w:tcBorders>
            <w:noWrap/>
            <w:tcMar>
              <w:top w:w="0" w:type="dxa"/>
              <w:left w:w="144" w:type="dxa"/>
              <w:bottom w:w="0" w:type="dxa"/>
              <w:right w:w="0" w:type="dxa"/>
            </w:tcMar>
            <w:vAlign w:val="bottom"/>
            <w:hideMark/>
          </w:tcPr>
          <w:p w14:paraId="2A9D9B75" w14:textId="77777777" w:rsidR="00D246A9" w:rsidRDefault="00D246A9">
            <w:pPr>
              <w:pStyle w:val="NormalWeb"/>
              <w:tabs>
                <w:tab w:val="right" w:pos="1420"/>
                <w:tab w:val="decimal" w:pos="1460"/>
              </w:tabs>
              <w:spacing w:before="0" w:beforeAutospacing="0" w:after="20" w:afterAutospacing="0"/>
              <w:rPr>
                <w:rFonts w:ascii="Arial" w:hAnsi="Arial" w:cs="Arial"/>
                <w:sz w:val="18"/>
                <w:szCs w:val="18"/>
              </w:rPr>
            </w:pPr>
            <w:r>
              <w:rPr>
                <w:rFonts w:ascii="Arial" w:hAnsi="Arial" w:cs="Arial"/>
                <w:sz w:val="18"/>
                <w:szCs w:val="18"/>
              </w:rPr>
              <w:tab/>
              <w:t>4,545,000</w:t>
            </w:r>
            <w:r>
              <w:rPr>
                <w:rFonts w:ascii="Arial" w:hAnsi="Arial" w:cs="Arial"/>
                <w:sz w:val="18"/>
                <w:szCs w:val="18"/>
              </w:rPr>
              <w:tab/>
            </w:r>
          </w:p>
        </w:tc>
      </w:tr>
      <w:tr w:rsidR="00D246A9" w14:paraId="66505093" w14:textId="77777777" w:rsidTr="00FE0A0A">
        <w:trPr>
          <w:cantSplit/>
        </w:trPr>
        <w:tc>
          <w:tcPr>
            <w:tcW w:w="7872" w:type="dxa"/>
            <w:tcBorders>
              <w:bottom w:val="single" w:sz="6" w:space="0" w:color="0075C9"/>
            </w:tcBorders>
            <w:tcMar>
              <w:top w:w="0" w:type="dxa"/>
              <w:left w:w="0" w:type="dxa"/>
              <w:bottom w:w="40" w:type="dxa"/>
              <w:right w:w="0" w:type="dxa"/>
            </w:tcMar>
            <w:hideMark/>
          </w:tcPr>
          <w:p w14:paraId="2A87A0D0"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All Other Fees</w:t>
            </w:r>
          </w:p>
        </w:tc>
        <w:tc>
          <w:tcPr>
            <w:tcW w:w="1324" w:type="dxa"/>
            <w:tcBorders>
              <w:bottom w:val="single" w:sz="6" w:space="0" w:color="0075C9"/>
            </w:tcBorders>
            <w:noWrap/>
            <w:tcMar>
              <w:top w:w="0" w:type="dxa"/>
              <w:left w:w="144" w:type="dxa"/>
              <w:bottom w:w="0" w:type="dxa"/>
              <w:right w:w="0" w:type="dxa"/>
            </w:tcMar>
            <w:vAlign w:val="bottom"/>
            <w:hideMark/>
          </w:tcPr>
          <w:p w14:paraId="30311046"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10,000</w:t>
            </w:r>
            <w:r>
              <w:rPr>
                <w:rFonts w:ascii="Arial" w:hAnsi="Arial" w:cs="Arial"/>
                <w:sz w:val="18"/>
                <w:szCs w:val="18"/>
              </w:rPr>
              <w:tab/>
            </w:r>
          </w:p>
        </w:tc>
        <w:tc>
          <w:tcPr>
            <w:tcW w:w="1604" w:type="dxa"/>
            <w:tcBorders>
              <w:bottom w:val="single" w:sz="6" w:space="0" w:color="0075C9"/>
            </w:tcBorders>
            <w:noWrap/>
            <w:tcMar>
              <w:top w:w="0" w:type="dxa"/>
              <w:left w:w="144" w:type="dxa"/>
              <w:bottom w:w="0" w:type="dxa"/>
              <w:right w:w="0" w:type="dxa"/>
            </w:tcMar>
            <w:vAlign w:val="bottom"/>
            <w:hideMark/>
          </w:tcPr>
          <w:p w14:paraId="654A168F" w14:textId="77777777" w:rsidR="00D246A9" w:rsidRDefault="00D246A9">
            <w:pPr>
              <w:pStyle w:val="NormalWeb"/>
              <w:tabs>
                <w:tab w:val="right" w:pos="1420"/>
                <w:tab w:val="decimal" w:pos="1460"/>
              </w:tabs>
              <w:spacing w:before="0" w:beforeAutospacing="0" w:after="20" w:afterAutospacing="0"/>
              <w:rPr>
                <w:rFonts w:ascii="Arial" w:hAnsi="Arial" w:cs="Arial"/>
                <w:sz w:val="18"/>
                <w:szCs w:val="18"/>
              </w:rPr>
            </w:pPr>
            <w:r>
              <w:rPr>
                <w:rFonts w:ascii="Arial" w:hAnsi="Arial" w:cs="Arial"/>
                <w:sz w:val="18"/>
                <w:szCs w:val="18"/>
              </w:rPr>
              <w:tab/>
              <w:t>10,000</w:t>
            </w:r>
            <w:r>
              <w:rPr>
                <w:rFonts w:ascii="Arial" w:hAnsi="Arial" w:cs="Arial"/>
                <w:sz w:val="18"/>
                <w:szCs w:val="18"/>
              </w:rPr>
              <w:tab/>
            </w:r>
          </w:p>
        </w:tc>
      </w:tr>
      <w:tr w:rsidR="00D246A9" w14:paraId="6EE73B38" w14:textId="77777777" w:rsidTr="00FE0A0A">
        <w:trPr>
          <w:cantSplit/>
        </w:trPr>
        <w:tc>
          <w:tcPr>
            <w:tcW w:w="7872" w:type="dxa"/>
            <w:tcBorders>
              <w:bottom w:val="single" w:sz="6" w:space="0" w:color="0075C9"/>
            </w:tcBorders>
            <w:tcMar>
              <w:top w:w="0" w:type="dxa"/>
              <w:left w:w="0" w:type="dxa"/>
              <w:bottom w:w="40" w:type="dxa"/>
              <w:right w:w="0" w:type="dxa"/>
            </w:tcMar>
            <w:hideMark/>
          </w:tcPr>
          <w:p w14:paraId="7BBE8B89"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Total</w:t>
            </w:r>
          </w:p>
        </w:tc>
        <w:tc>
          <w:tcPr>
            <w:tcW w:w="1324" w:type="dxa"/>
            <w:tcBorders>
              <w:bottom w:val="single" w:sz="6" w:space="0" w:color="0075C9"/>
            </w:tcBorders>
            <w:noWrap/>
            <w:tcMar>
              <w:top w:w="0" w:type="dxa"/>
              <w:left w:w="144" w:type="dxa"/>
              <w:bottom w:w="0" w:type="dxa"/>
              <w:right w:w="0" w:type="dxa"/>
            </w:tcMar>
            <w:vAlign w:val="bottom"/>
            <w:hideMark/>
          </w:tcPr>
          <w:p w14:paraId="57FC0F36"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$61,402,000</w:t>
            </w:r>
            <w:r>
              <w:rPr>
                <w:rFonts w:ascii="Arial" w:hAnsi="Arial" w:cs="Arial"/>
                <w:sz w:val="18"/>
                <w:szCs w:val="18"/>
              </w:rPr>
              <w:tab/>
            </w:r>
          </w:p>
        </w:tc>
        <w:tc>
          <w:tcPr>
            <w:tcW w:w="1604" w:type="dxa"/>
            <w:tcBorders>
              <w:bottom w:val="single" w:sz="6" w:space="0" w:color="0075C9"/>
            </w:tcBorders>
            <w:noWrap/>
            <w:tcMar>
              <w:top w:w="0" w:type="dxa"/>
              <w:left w:w="144" w:type="dxa"/>
              <w:bottom w:w="0" w:type="dxa"/>
              <w:right w:w="0" w:type="dxa"/>
            </w:tcMar>
            <w:vAlign w:val="bottom"/>
            <w:hideMark/>
          </w:tcPr>
          <w:p w14:paraId="7BE081FA" w14:textId="77777777" w:rsidR="00D246A9" w:rsidRDefault="00D246A9">
            <w:pPr>
              <w:pStyle w:val="NormalWeb"/>
              <w:tabs>
                <w:tab w:val="right" w:pos="1420"/>
                <w:tab w:val="decimal" w:pos="1460"/>
              </w:tabs>
              <w:spacing w:before="0" w:beforeAutospacing="0" w:after="20" w:afterAutospacing="0"/>
              <w:rPr>
                <w:rFonts w:ascii="Arial" w:hAnsi="Arial" w:cs="Arial"/>
                <w:sz w:val="18"/>
                <w:szCs w:val="18"/>
              </w:rPr>
            </w:pPr>
            <w:r>
              <w:rPr>
                <w:rFonts w:ascii="Arial" w:hAnsi="Arial" w:cs="Arial"/>
                <w:sz w:val="18"/>
                <w:szCs w:val="18"/>
              </w:rPr>
              <w:tab/>
              <w:t>$57,517,000</w:t>
            </w:r>
            <w:r>
              <w:rPr>
                <w:rFonts w:ascii="Arial" w:hAnsi="Arial" w:cs="Arial"/>
                <w:sz w:val="18"/>
                <w:szCs w:val="18"/>
              </w:rPr>
              <w:tab/>
            </w:r>
          </w:p>
        </w:tc>
      </w:tr>
    </w:tbl>
    <w:p w14:paraId="37D7C6A9" w14:textId="77777777" w:rsidR="00D246A9" w:rsidRPr="00306F7C" w:rsidRDefault="00D246A9" w:rsidP="008E18EB">
      <w:pPr>
        <w:pStyle w:val="Heading4"/>
      </w:pPr>
      <w:r>
        <w:t xml:space="preserve">Audit Fees </w:t>
      </w:r>
    </w:p>
    <w:p w14:paraId="6BED09D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These amounts represent fees of Deloitte &amp; Touche for the audit of our annual consolidated financial statements, the review of consolidated financial statements included in our quarterly Form 10-Q reports, the audit of internal control over financial reporting, and the services that an independent auditor would customarily provide in connection with subsidiary audits, statutory requirements, regulatory filings, and similar engagements for the fiscal year, such as comfort letters, attest services, consents, and assistance with review of documents filed with the SEC. Audit fees also include procedures relating to accounting matters that arose in connection with or as a result of the audit or the review of periodic financial statements and statutory audits that non-U.S. jurisdictions require. </w:t>
      </w:r>
    </w:p>
    <w:p w14:paraId="7F9FBC78" w14:textId="77777777" w:rsidR="00D246A9" w:rsidRDefault="00D246A9" w:rsidP="008E18EB">
      <w:pPr>
        <w:pStyle w:val="Heading4"/>
      </w:pPr>
      <w:r>
        <w:t xml:space="preserve">Audit-Related Fees </w:t>
      </w:r>
    </w:p>
    <w:p w14:paraId="2E0E448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Audit-related fees consist of assurance and related services that are reasonably related to the performance of the audit or review of Microsoft’s consolidated financial statements or internal control over financial reporting. This category may include fees related to the performance of audits and attest services not required by statute or regulations; audits of our employee benefit plans; due diligence related to mergers, acquisitions, and investments; additional revenue and license compliance procedures related to the performance of review or audit of Microsoft’s consolidated financial statements; third-party assurance audits for cloud services; and accounting consultations about the application of GAAP to proposed transactions. Revenue assurance and license compliance includes procedures under contracts we have entered that provide for review by an independent accountant, and advice about controls associated with the completeness and accuracy of our software licensing revenue. These services support the evaluation of the effectiveness of internal control over revenue recognition and enhance the independent auditor’s understanding of our licensing programs and controls. </w:t>
      </w:r>
    </w:p>
    <w:p w14:paraId="7466B48B" w14:textId="77777777" w:rsidR="00D246A9" w:rsidRDefault="00D246A9" w:rsidP="008E18EB">
      <w:pPr>
        <w:pStyle w:val="Heading4"/>
      </w:pPr>
      <w:r>
        <w:t xml:space="preserve">Tax Fees </w:t>
      </w:r>
    </w:p>
    <w:p w14:paraId="232934B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Tax fees generally consist of tax compliance and return preparation, and tax planning and advice. Tax compliance and return preparation services consist of preparing original and amended tax returns and claims for refunds. Tax planning and advice services consist of support during income tax audits or inquiries. </w:t>
      </w:r>
    </w:p>
    <w:p w14:paraId="7ED8A3B3" w14:textId="77777777" w:rsidR="00D246A9" w:rsidRDefault="00D246A9" w:rsidP="008E18EB">
      <w:pPr>
        <w:pStyle w:val="Heading4"/>
      </w:pPr>
      <w:r>
        <w:t xml:space="preserve">All Other Fees </w:t>
      </w:r>
    </w:p>
    <w:p w14:paraId="580D0BF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All other fees consist of permitted services other than those that meet the criteria above and include training activities, and subscriptions and surveys on economic, industry, accounting, and human resources topics. </w:t>
      </w:r>
    </w:p>
    <w:p w14:paraId="0790684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concluded that the provision of the non-audit services listed above is compatible with maintaining the independence of Deloitte &amp; Touche. </w:t>
      </w:r>
    </w:p>
    <w:p w14:paraId="49FD676D" w14:textId="77777777" w:rsidR="00D246A9" w:rsidRDefault="00D246A9">
      <w:pPr>
        <w:pStyle w:val="NormalWeb"/>
        <w:keepNext/>
        <w:spacing w:before="0" w:beforeAutospacing="0" w:after="0" w:afterAutospacing="0"/>
        <w:rPr>
          <w:sz w:val="36"/>
          <w:szCs w:val="36"/>
        </w:rPr>
      </w:pPr>
      <w:r>
        <w:rPr>
          <w:sz w:val="36"/>
          <w:szCs w:val="36"/>
        </w:rPr>
        <w:t> </w:t>
      </w:r>
    </w:p>
    <w:p w14:paraId="19758F33" w14:textId="77777777" w:rsidR="00D246A9" w:rsidRDefault="00D246A9" w:rsidP="00D87FF2">
      <w:pPr>
        <w:pStyle w:val="rrdsinglerule"/>
        <w:pageBreakBefore/>
        <w:pBdr>
          <w:top w:val="single" w:sz="6" w:space="0" w:color="0075C9"/>
        </w:pBdr>
        <w:spacing w:before="120"/>
        <w:rPr>
          <w:sz w:val="24"/>
          <w:szCs w:val="24"/>
        </w:rPr>
      </w:pPr>
      <w:r>
        <w:lastRenderedPageBreak/>
        <w:t xml:space="preserve">  </w:t>
      </w:r>
    </w:p>
    <w:p w14:paraId="4E035FC2" w14:textId="77777777" w:rsidR="00D246A9" w:rsidRDefault="00D246A9" w:rsidP="00B4165A">
      <w:pPr>
        <w:pStyle w:val="Heading3"/>
      </w:pPr>
      <w:bookmarkStart w:id="29" w:name="toc356108_30"/>
      <w:bookmarkEnd w:id="29"/>
      <w:r>
        <w:t xml:space="preserve">Policy on Audit Committee Pre-Approval of Audit and Permissible Non-Audit Services of Independent Auditor </w:t>
      </w:r>
    </w:p>
    <w:p w14:paraId="727D733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has a policy for pre-approval of all audit and permissible non-audit services provided by the independent auditor. Each year, the Committee approves the terms on which the independent auditor is engaged for the ensuing fiscal year. At least quarterly, the Committee reviews and, if </w:t>
      </w:r>
      <w:proofErr w:type="gramStart"/>
      <w:r>
        <w:rPr>
          <w:rFonts w:ascii="Arial" w:hAnsi="Arial" w:cs="Arial"/>
          <w:sz w:val="18"/>
          <w:szCs w:val="18"/>
        </w:rPr>
        <w:t>appropriate</w:t>
      </w:r>
      <w:proofErr w:type="gramEnd"/>
      <w:r>
        <w:rPr>
          <w:rFonts w:ascii="Arial" w:hAnsi="Arial" w:cs="Arial"/>
          <w:sz w:val="18"/>
          <w:szCs w:val="18"/>
        </w:rPr>
        <w:t>, pre-approves services to be performed by the independent auditor, reviews a report summarizing fiscal year-to-date services provided by the independent auditor, and reviews an updated projection of the fiscal year’s estimated fees. The Committee, as permitted by its pre-approval policy</w:t>
      </w:r>
      <w:proofErr w:type="gramStart"/>
      <w:r>
        <w:rPr>
          <w:rFonts w:ascii="Arial" w:hAnsi="Arial" w:cs="Arial"/>
          <w:sz w:val="18"/>
          <w:szCs w:val="18"/>
        </w:rPr>
        <w:t>, from time to time</w:t>
      </w:r>
      <w:proofErr w:type="gramEnd"/>
      <w:r>
        <w:rPr>
          <w:rFonts w:ascii="Arial" w:hAnsi="Arial" w:cs="Arial"/>
          <w:sz w:val="18"/>
          <w:szCs w:val="18"/>
        </w:rPr>
        <w:t xml:space="preserve"> delegates the approval of certain permitted services or classes of services to a member of the Committee. The Committee then reviews the delegate’s approval decisions each quarter. Microsoft uses a centralized internal system to collect requests from Company personnel for services by the independent auditor to facilitate compliance with this pre-approval policy. </w:t>
      </w:r>
    </w:p>
    <w:p w14:paraId="51B9C15F" w14:textId="77777777" w:rsidR="00D246A9" w:rsidRDefault="00D246A9">
      <w:pPr>
        <w:pStyle w:val="NormalWeb"/>
        <w:spacing w:before="240" w:beforeAutospacing="0" w:after="0" w:afterAutospacing="0"/>
        <w:rPr>
          <w:sz w:val="2"/>
          <w:szCs w:val="2"/>
        </w:rPr>
      </w:pPr>
      <w:r>
        <w:rPr>
          <w:sz w:val="2"/>
          <w:szCs w:val="2"/>
        </w:rPr>
        <w:t> </w:t>
      </w:r>
    </w:p>
    <w:p w14:paraId="5E3C42EF" w14:textId="77777777" w:rsidR="00D246A9" w:rsidRDefault="00D246A9" w:rsidP="00D87FF2">
      <w:pPr>
        <w:pStyle w:val="NormalWeb"/>
        <w:pageBreakBefore/>
        <w:spacing w:before="0" w:beforeAutospacing="0" w:after="0" w:afterAutospacing="0"/>
        <w:rPr>
          <w:rFonts w:ascii="Arial" w:hAnsi="Arial" w:cs="Arial"/>
          <w:sz w:val="46"/>
          <w:szCs w:val="46"/>
        </w:rPr>
      </w:pPr>
      <w:r>
        <w:rPr>
          <w:rFonts w:ascii="Arial" w:hAnsi="Arial" w:cs="Arial"/>
          <w:b/>
          <w:bCs/>
          <w:sz w:val="46"/>
          <w:szCs w:val="46"/>
        </w:rPr>
        <w:lastRenderedPageBreak/>
        <w:t xml:space="preserve">4. Proposals to be Voted on During the Meeting </w:t>
      </w:r>
    </w:p>
    <w:p w14:paraId="48E0BA78" w14:textId="77777777" w:rsidR="00D246A9" w:rsidRDefault="00D246A9">
      <w:pPr>
        <w:pStyle w:val="NormalWeb"/>
        <w:keepNext/>
        <w:spacing w:before="0" w:beforeAutospacing="0" w:after="0" w:afterAutospacing="0"/>
        <w:rPr>
          <w:sz w:val="12"/>
          <w:szCs w:val="12"/>
        </w:rPr>
      </w:pPr>
      <w:r>
        <w:rPr>
          <w:sz w:val="12"/>
          <w:szCs w:val="12"/>
        </w:rPr>
        <w:t> </w:t>
      </w:r>
    </w:p>
    <w:p w14:paraId="705E59CB" w14:textId="77777777" w:rsidR="00D246A9" w:rsidRDefault="00D246A9">
      <w:pPr>
        <w:pStyle w:val="rrdsinglerule"/>
        <w:pBdr>
          <w:top w:val="single" w:sz="6" w:space="0" w:color="0075C9"/>
        </w:pBdr>
        <w:spacing w:before="120"/>
        <w:rPr>
          <w:sz w:val="24"/>
          <w:szCs w:val="24"/>
        </w:rPr>
      </w:pPr>
      <w:r>
        <w:t> </w:t>
      </w:r>
    </w:p>
    <w:p w14:paraId="6EA7B688" w14:textId="77777777" w:rsidR="00D246A9" w:rsidRDefault="00D246A9" w:rsidP="00B4165A">
      <w:pPr>
        <w:pStyle w:val="Heading3"/>
      </w:pPr>
      <w:r>
        <w:t xml:space="preserve">Management Proposals </w:t>
      </w:r>
    </w:p>
    <w:p w14:paraId="33126DED" w14:textId="77777777" w:rsidR="00D246A9" w:rsidRDefault="00D246A9">
      <w:pPr>
        <w:pStyle w:val="NormalWeb"/>
        <w:spacing w:before="120" w:beforeAutospacing="0" w:after="0" w:afterAutospacing="0"/>
        <w:rPr>
          <w:rFonts w:ascii="Arial" w:hAnsi="Arial" w:cs="Arial"/>
        </w:rPr>
      </w:pPr>
      <w:bookmarkStart w:id="30" w:name="toc356108_31"/>
      <w:bookmarkEnd w:id="30"/>
      <w:r>
        <w:rPr>
          <w:rFonts w:ascii="Arial" w:hAnsi="Arial" w:cs="Arial"/>
          <w:b/>
          <w:bCs/>
        </w:rPr>
        <w:t xml:space="preserve">Proposal 1: Election of 12 Directors </w:t>
      </w:r>
    </w:p>
    <w:tbl>
      <w:tblPr>
        <w:tblW w:w="0" w:type="auto"/>
        <w:jc w:val="center"/>
        <w:tblLayout w:type="fixed"/>
        <w:tblCellMar>
          <w:left w:w="0" w:type="dxa"/>
          <w:right w:w="0" w:type="dxa"/>
        </w:tblCellMar>
        <w:tblLook w:val="04A0" w:firstRow="1" w:lastRow="0" w:firstColumn="1" w:lastColumn="0" w:noHBand="0" w:noVBand="1"/>
      </w:tblPr>
      <w:tblGrid>
        <w:gridCol w:w="10692"/>
      </w:tblGrid>
      <w:tr w:rsidR="00D246A9" w14:paraId="300E2C09" w14:textId="77777777" w:rsidTr="00FE0A0A">
        <w:trPr>
          <w:jc w:val="center"/>
        </w:trPr>
        <w:tc>
          <w:tcPr>
            <w:tcW w:w="10692" w:type="dxa"/>
            <w:vAlign w:val="center"/>
            <w:hideMark/>
          </w:tcPr>
          <w:p w14:paraId="650FF3F0" w14:textId="77777777" w:rsidR="00D246A9" w:rsidRDefault="00D246A9">
            <w:pPr>
              <w:rPr>
                <w:rFonts w:ascii="Arial" w:hAnsi="Arial" w:cs="Arial"/>
              </w:rPr>
            </w:pPr>
          </w:p>
        </w:tc>
      </w:tr>
      <w:tr w:rsidR="00D246A9" w14:paraId="52771F81" w14:textId="77777777" w:rsidTr="00FE0A0A">
        <w:trPr>
          <w:cantSplit/>
          <w:jc w:val="center"/>
        </w:trPr>
        <w:tc>
          <w:tcPr>
            <w:tcW w:w="10692" w:type="dxa"/>
            <w:hideMark/>
          </w:tcPr>
          <w:p w14:paraId="2ABC13B0" w14:textId="77777777" w:rsidR="00D246A9" w:rsidRPr="00306F7C"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0C4C062E"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The Board of Directors has nominated 12 directors for election during the 2023 annual shareholders meeting (“Annual Meeting”) to hold office until the 2024 annual shareholders meeting. John Thompson and Padmasree Warrior are not seeking re-election and their Board service will end on the date of the Annual Meeting. The Board has nominated Catherine MacGregor and Mark Mason for election as directors. If elected, their terms will begin on December 7, 2023. The Governance and Nominating Committee evaluated and recommended the nominees in accordance with its charter and our Corporate Governance Guidelines.</w:t>
            </w:r>
          </w:p>
          <w:p w14:paraId="5B95D1E0"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DA15CF0" w14:textId="77777777" w:rsidR="00D246A9" w:rsidRDefault="00D246A9">
            <w:pPr>
              <w:pStyle w:val="NormalWeb"/>
              <w:spacing w:before="0" w:beforeAutospacing="0" w:after="20" w:afterAutospacing="0"/>
              <w:rPr>
                <w:rFonts w:ascii="Arial" w:hAnsi="Arial" w:cs="Arial"/>
                <w:sz w:val="18"/>
                <w:szCs w:val="18"/>
              </w:rPr>
            </w:pPr>
            <w:r>
              <w:rPr>
                <w:rFonts w:ascii="Arial" w:hAnsi="Arial" w:cs="Arial"/>
                <w:sz w:val="18"/>
                <w:szCs w:val="18"/>
              </w:rPr>
              <w:t>To be elected, a director must receive a vote of the majority of the votes cast.</w:t>
            </w:r>
          </w:p>
        </w:tc>
      </w:tr>
    </w:tbl>
    <w:p w14:paraId="3F007A2B" w14:textId="77777777" w:rsidR="00D246A9" w:rsidRPr="00306F7C" w:rsidRDefault="00D246A9">
      <w:pPr>
        <w:pStyle w:val="NormalWeb"/>
        <w:keepNext/>
        <w:spacing w:before="240" w:beforeAutospacing="0" w:after="0" w:afterAutospacing="0"/>
        <w:rPr>
          <w:rFonts w:ascii="Arial" w:hAnsi="Arial" w:cs="Arial"/>
          <w:sz w:val="20"/>
          <w:szCs w:val="20"/>
        </w:rPr>
      </w:pPr>
      <w:r>
        <w:rPr>
          <w:rFonts w:ascii="Arial" w:hAnsi="Arial" w:cs="Arial"/>
          <w:b/>
          <w:bCs/>
          <w:i/>
          <w:iCs/>
          <w:color w:val="0075C9"/>
          <w:sz w:val="20"/>
          <w:szCs w:val="20"/>
        </w:rPr>
        <w:t xml:space="preserve">Our Board of Directors recommends a vote FOR the election to the Board for each of the nominees listed below. </w:t>
      </w:r>
    </w:p>
    <w:p w14:paraId="105BA974" w14:textId="77777777" w:rsidR="00D246A9" w:rsidRDefault="00D246A9">
      <w:pPr>
        <w:pStyle w:val="NormalWeb"/>
        <w:keepNext/>
        <w:spacing w:before="0" w:beforeAutospacing="0" w:after="0" w:afterAutospacing="0"/>
        <w:rPr>
          <w:sz w:val="12"/>
          <w:szCs w:val="12"/>
        </w:rPr>
      </w:pPr>
      <w:r>
        <w:rPr>
          <w:sz w:val="12"/>
          <w:szCs w:val="12"/>
        </w:rPr>
        <w:t> </w:t>
      </w:r>
    </w:p>
    <w:tbl>
      <w:tblPr>
        <w:tblW w:w="5000" w:type="pct"/>
        <w:jc w:val="center"/>
        <w:tblLayout w:type="fixed"/>
        <w:tblCellMar>
          <w:left w:w="0" w:type="dxa"/>
          <w:right w:w="0" w:type="dxa"/>
        </w:tblCellMar>
        <w:tblLook w:val="0600" w:firstRow="0" w:lastRow="0" w:firstColumn="0" w:lastColumn="0" w:noHBand="1" w:noVBand="1"/>
      </w:tblPr>
      <w:tblGrid>
        <w:gridCol w:w="2172"/>
        <w:gridCol w:w="451"/>
        <w:gridCol w:w="2425"/>
        <w:gridCol w:w="556"/>
        <w:gridCol w:w="2320"/>
        <w:gridCol w:w="547"/>
        <w:gridCol w:w="2329"/>
      </w:tblGrid>
      <w:tr w:rsidR="00C15875" w14:paraId="579A4552" w14:textId="77777777" w:rsidTr="00BB025D">
        <w:trPr>
          <w:jc w:val="center"/>
        </w:trPr>
        <w:tc>
          <w:tcPr>
            <w:tcW w:w="2172" w:type="dxa"/>
            <w:hideMark/>
          </w:tcPr>
          <w:p w14:paraId="22E87383" w14:textId="3CE78E70" w:rsidR="00C15875" w:rsidRPr="00306F7C" w:rsidRDefault="00C15875">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33929649" wp14:editId="4E7A85AB">
                  <wp:extent cx="914400" cy="914400"/>
                  <wp:effectExtent l="0" t="0" r="0" b="0"/>
                  <wp:docPr id="1777858747"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58747" name="Picture 15">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AA41CBD" w14:textId="77777777" w:rsidR="00C15875" w:rsidRDefault="00C15875">
            <w:pPr>
              <w:pStyle w:val="NormalWeb"/>
              <w:spacing w:before="0" w:beforeAutospacing="0" w:after="0" w:afterAutospacing="0"/>
              <w:rPr>
                <w:rFonts w:ascii="Arial" w:hAnsi="Arial" w:cs="Arial"/>
                <w:sz w:val="4"/>
                <w:szCs w:val="4"/>
              </w:rPr>
            </w:pPr>
            <w:r>
              <w:rPr>
                <w:rFonts w:ascii="Arial" w:hAnsi="Arial" w:cs="Arial"/>
                <w:sz w:val="4"/>
                <w:szCs w:val="4"/>
              </w:rPr>
              <w:t> </w:t>
            </w:r>
          </w:p>
          <w:p w14:paraId="14EF68B0" w14:textId="77777777" w:rsidR="00C15875" w:rsidRDefault="00C15875">
            <w:pPr>
              <w:pStyle w:val="NormalWeb"/>
              <w:spacing w:before="0" w:beforeAutospacing="0" w:after="0" w:afterAutospacing="0"/>
              <w:rPr>
                <w:rFonts w:ascii="Arial" w:hAnsi="Arial" w:cs="Arial"/>
                <w:sz w:val="19"/>
                <w:szCs w:val="19"/>
              </w:rPr>
            </w:pPr>
            <w:r>
              <w:rPr>
                <w:rFonts w:ascii="Arial" w:hAnsi="Arial" w:cs="Arial"/>
                <w:b/>
                <w:bCs/>
                <w:sz w:val="19"/>
                <w:szCs w:val="19"/>
              </w:rPr>
              <w:t>Reid G. Hoffman</w:t>
            </w:r>
          </w:p>
          <w:p w14:paraId="3F8FDC3D"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56</w:t>
            </w:r>
          </w:p>
          <w:p w14:paraId="0D00E1C3"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2017</w:t>
            </w:r>
          </w:p>
          <w:p w14:paraId="75E1A1E5" w14:textId="77777777" w:rsidR="00C15875" w:rsidRDefault="00C15875">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Partner, Greylock Partners</w:t>
            </w:r>
          </w:p>
        </w:tc>
        <w:tc>
          <w:tcPr>
            <w:tcW w:w="451" w:type="dxa"/>
            <w:vMerge w:val="restart"/>
            <w:tcMar>
              <w:top w:w="0" w:type="dxa"/>
              <w:left w:w="144" w:type="dxa"/>
              <w:bottom w:w="0" w:type="dxa"/>
              <w:right w:w="0" w:type="dxa"/>
            </w:tcMar>
            <w:hideMark/>
          </w:tcPr>
          <w:p w14:paraId="6C0CC6E6" w14:textId="7F5B6997" w:rsidR="00C15875" w:rsidRDefault="00BB025D" w:rsidP="003B393F">
            <w:pPr>
              <w:pStyle w:val="la2"/>
              <w:rPr>
                <w:rFonts w:ascii="Arial" w:hAnsi="Arial" w:cs="Arial"/>
                <w:sz w:val="18"/>
                <w:szCs w:val="18"/>
              </w:rPr>
            </w:pPr>
            <w:r w:rsidRPr="00BB025D">
              <w:rPr>
                <w:rFonts w:ascii="Arial" w:hAnsi="Arial" w:cs="Arial"/>
                <w:color w:val="FFFFFF" w:themeColor="background1"/>
                <w:sz w:val="18"/>
                <w:szCs w:val="18"/>
              </w:rPr>
              <w:t>NA</w:t>
            </w:r>
          </w:p>
        </w:tc>
        <w:tc>
          <w:tcPr>
            <w:tcW w:w="2425" w:type="dxa"/>
            <w:hideMark/>
          </w:tcPr>
          <w:p w14:paraId="4137575F" w14:textId="49DA03EB" w:rsidR="00C15875" w:rsidRDefault="00C15875">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3AC80322" wp14:editId="4D66BFB8">
                  <wp:extent cx="914400" cy="914400"/>
                  <wp:effectExtent l="0" t="0" r="0" b="0"/>
                  <wp:docPr id="1339264742"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64742" name="Picture 1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031FAE0F" w14:textId="77777777" w:rsidR="00C15875" w:rsidRDefault="00C15875">
            <w:pPr>
              <w:pStyle w:val="NormalWeb"/>
              <w:spacing w:before="0" w:beforeAutospacing="0" w:after="0" w:afterAutospacing="0"/>
              <w:rPr>
                <w:rFonts w:ascii="Arial" w:hAnsi="Arial" w:cs="Arial"/>
                <w:sz w:val="4"/>
                <w:szCs w:val="4"/>
              </w:rPr>
            </w:pPr>
            <w:r>
              <w:rPr>
                <w:rFonts w:ascii="Arial" w:hAnsi="Arial" w:cs="Arial"/>
                <w:sz w:val="4"/>
                <w:szCs w:val="4"/>
              </w:rPr>
              <w:t> </w:t>
            </w:r>
          </w:p>
          <w:p w14:paraId="7165210E" w14:textId="77777777" w:rsidR="00C15875" w:rsidRDefault="00C15875">
            <w:pPr>
              <w:pStyle w:val="NormalWeb"/>
              <w:spacing w:before="0" w:beforeAutospacing="0" w:after="0" w:afterAutospacing="0"/>
              <w:rPr>
                <w:rFonts w:ascii="Arial" w:hAnsi="Arial" w:cs="Arial"/>
                <w:sz w:val="19"/>
                <w:szCs w:val="19"/>
              </w:rPr>
            </w:pPr>
            <w:r>
              <w:rPr>
                <w:rFonts w:ascii="Arial" w:hAnsi="Arial" w:cs="Arial"/>
                <w:b/>
                <w:bCs/>
                <w:sz w:val="19"/>
                <w:szCs w:val="19"/>
              </w:rPr>
              <w:t>Hugh F. Johnston</w:t>
            </w:r>
          </w:p>
          <w:p w14:paraId="4FB20B5A"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62</w:t>
            </w:r>
          </w:p>
          <w:p w14:paraId="7C6A5070"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2017</w:t>
            </w:r>
          </w:p>
          <w:p w14:paraId="159CC33D" w14:textId="77777777" w:rsidR="00C15875" w:rsidRDefault="00C15875">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Vice Chairman, Executive Vice President, and CFO, PepsiCo, Inc.</w:t>
            </w:r>
          </w:p>
        </w:tc>
        <w:tc>
          <w:tcPr>
            <w:tcW w:w="556" w:type="dxa"/>
            <w:tcMar>
              <w:top w:w="0" w:type="dxa"/>
              <w:left w:w="144" w:type="dxa"/>
              <w:bottom w:w="0" w:type="dxa"/>
              <w:right w:w="0" w:type="dxa"/>
            </w:tcMar>
            <w:hideMark/>
          </w:tcPr>
          <w:p w14:paraId="39FABA07" w14:textId="7F3D7376" w:rsidR="00C15875" w:rsidRPr="00BB025D" w:rsidRDefault="00BB025D">
            <w:pPr>
              <w:pStyle w:val="la2"/>
              <w:rPr>
                <w:rFonts w:ascii="Arial" w:hAnsi="Arial" w:cs="Arial"/>
                <w:color w:val="FFFFFF" w:themeColor="background1"/>
                <w:sz w:val="18"/>
                <w:szCs w:val="18"/>
              </w:rPr>
            </w:pPr>
            <w:r w:rsidRPr="00BB025D">
              <w:rPr>
                <w:rFonts w:ascii="Arial" w:hAnsi="Arial" w:cs="Arial"/>
                <w:color w:val="FFFFFF" w:themeColor="background1"/>
                <w:sz w:val="18"/>
                <w:szCs w:val="18"/>
              </w:rPr>
              <w:t>NA</w:t>
            </w:r>
          </w:p>
        </w:tc>
        <w:tc>
          <w:tcPr>
            <w:tcW w:w="2320" w:type="dxa"/>
            <w:hideMark/>
          </w:tcPr>
          <w:p w14:paraId="62BF613A" w14:textId="27C29304" w:rsidR="00C15875" w:rsidRDefault="00C15875">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2C7557CA" wp14:editId="79D5E46F">
                  <wp:extent cx="914400" cy="914400"/>
                  <wp:effectExtent l="0" t="0" r="0" b="0"/>
                  <wp:docPr id="185575677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56779" name="Picture 17">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6301E13C" w14:textId="77777777" w:rsidR="00C15875" w:rsidRDefault="00C15875">
            <w:pPr>
              <w:pStyle w:val="NormalWeb"/>
              <w:spacing w:before="0" w:beforeAutospacing="0" w:after="0" w:afterAutospacing="0"/>
              <w:rPr>
                <w:rFonts w:ascii="Arial" w:hAnsi="Arial" w:cs="Arial"/>
                <w:sz w:val="4"/>
                <w:szCs w:val="4"/>
              </w:rPr>
            </w:pPr>
            <w:r>
              <w:rPr>
                <w:rFonts w:ascii="Arial" w:hAnsi="Arial" w:cs="Arial"/>
                <w:sz w:val="4"/>
                <w:szCs w:val="4"/>
              </w:rPr>
              <w:t> </w:t>
            </w:r>
          </w:p>
          <w:p w14:paraId="5A2A9B9A" w14:textId="77777777" w:rsidR="00C15875" w:rsidRDefault="00C15875">
            <w:pPr>
              <w:pStyle w:val="NormalWeb"/>
              <w:spacing w:before="0" w:beforeAutospacing="0" w:after="0" w:afterAutospacing="0"/>
              <w:rPr>
                <w:rFonts w:ascii="Arial" w:hAnsi="Arial" w:cs="Arial"/>
                <w:sz w:val="19"/>
                <w:szCs w:val="19"/>
              </w:rPr>
            </w:pPr>
            <w:r>
              <w:rPr>
                <w:rFonts w:ascii="Arial" w:hAnsi="Arial" w:cs="Arial"/>
                <w:b/>
                <w:bCs/>
                <w:sz w:val="19"/>
                <w:szCs w:val="19"/>
              </w:rPr>
              <w:t>Teri L. List</w:t>
            </w:r>
          </w:p>
          <w:p w14:paraId="2FA056DC"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60</w:t>
            </w:r>
          </w:p>
          <w:p w14:paraId="35310FB0"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2014</w:t>
            </w:r>
          </w:p>
          <w:p w14:paraId="36339DA4" w14:textId="77777777" w:rsidR="00C15875" w:rsidRDefault="00C15875">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Former Executive Vice President and CFO, The Gap, Inc.</w:t>
            </w:r>
          </w:p>
        </w:tc>
        <w:tc>
          <w:tcPr>
            <w:tcW w:w="547" w:type="dxa"/>
            <w:vMerge w:val="restart"/>
            <w:tcMar>
              <w:top w:w="0" w:type="dxa"/>
              <w:left w:w="144" w:type="dxa"/>
              <w:bottom w:w="0" w:type="dxa"/>
              <w:right w:w="0" w:type="dxa"/>
            </w:tcMar>
            <w:hideMark/>
          </w:tcPr>
          <w:p w14:paraId="551AAF62" w14:textId="77777777" w:rsidR="00C15875" w:rsidRPr="00BB025D" w:rsidRDefault="00C15875">
            <w:pPr>
              <w:pStyle w:val="la2"/>
              <w:rPr>
                <w:rFonts w:ascii="Arial" w:hAnsi="Arial" w:cs="Arial"/>
                <w:color w:val="FFFFFF" w:themeColor="background1"/>
                <w:sz w:val="18"/>
                <w:szCs w:val="18"/>
              </w:rPr>
            </w:pPr>
            <w:r w:rsidRPr="00BB025D">
              <w:rPr>
                <w:rFonts w:ascii="Arial" w:hAnsi="Arial" w:cs="Arial"/>
                <w:color w:val="FFFFFF" w:themeColor="background1"/>
                <w:sz w:val="18"/>
                <w:szCs w:val="18"/>
              </w:rPr>
              <w:t> </w:t>
            </w:r>
          </w:p>
          <w:p w14:paraId="7BC72BF3" w14:textId="77777777" w:rsidR="00C15875" w:rsidRPr="00BB025D" w:rsidRDefault="00C15875">
            <w:pPr>
              <w:pStyle w:val="la2"/>
              <w:rPr>
                <w:rFonts w:ascii="Arial" w:hAnsi="Arial" w:cs="Arial"/>
                <w:color w:val="FFFFFF" w:themeColor="background1"/>
                <w:sz w:val="18"/>
                <w:szCs w:val="18"/>
              </w:rPr>
            </w:pPr>
            <w:r w:rsidRPr="00BB025D">
              <w:rPr>
                <w:rFonts w:ascii="Arial" w:hAnsi="Arial" w:cs="Arial"/>
                <w:color w:val="FFFFFF" w:themeColor="background1"/>
                <w:sz w:val="18"/>
                <w:szCs w:val="18"/>
              </w:rPr>
              <w:t> </w:t>
            </w:r>
          </w:p>
          <w:p w14:paraId="75337A16" w14:textId="3B291986" w:rsidR="00C15875" w:rsidRPr="00BB025D" w:rsidRDefault="00C15875" w:rsidP="00DF50EF">
            <w:pPr>
              <w:pStyle w:val="la2"/>
              <w:rPr>
                <w:rFonts w:ascii="Arial" w:hAnsi="Arial" w:cs="Arial"/>
                <w:color w:val="FFFFFF" w:themeColor="background1"/>
                <w:sz w:val="18"/>
                <w:szCs w:val="18"/>
              </w:rPr>
            </w:pPr>
            <w:r w:rsidRPr="00BB025D">
              <w:rPr>
                <w:rFonts w:ascii="Arial" w:hAnsi="Arial" w:cs="Arial"/>
                <w:color w:val="FFFFFF" w:themeColor="background1"/>
                <w:sz w:val="18"/>
                <w:szCs w:val="18"/>
              </w:rPr>
              <w:t> </w:t>
            </w:r>
            <w:r w:rsidR="00BB025D" w:rsidRPr="00BB025D">
              <w:rPr>
                <w:rFonts w:ascii="Arial" w:hAnsi="Arial" w:cs="Arial"/>
                <w:color w:val="FFFFFF" w:themeColor="background1"/>
                <w:sz w:val="18"/>
                <w:szCs w:val="18"/>
              </w:rPr>
              <w:t>NA</w:t>
            </w:r>
          </w:p>
        </w:tc>
        <w:tc>
          <w:tcPr>
            <w:tcW w:w="2329" w:type="dxa"/>
            <w:hideMark/>
          </w:tcPr>
          <w:p w14:paraId="52DF9235" w14:textId="16D5998B" w:rsidR="00C15875" w:rsidRDefault="00C15875">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0D0516CE" wp14:editId="1DA97A6D">
                  <wp:extent cx="914400" cy="914400"/>
                  <wp:effectExtent l="0" t="0" r="0" b="0"/>
                  <wp:docPr id="195702527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25275" name="Picture 18">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65F8CA9A" w14:textId="77777777" w:rsidR="00C15875" w:rsidRDefault="00C15875">
            <w:pPr>
              <w:pStyle w:val="NormalWeb"/>
              <w:spacing w:before="0" w:beforeAutospacing="0" w:after="0" w:afterAutospacing="0"/>
              <w:rPr>
                <w:rFonts w:ascii="Arial" w:hAnsi="Arial" w:cs="Arial"/>
                <w:sz w:val="4"/>
                <w:szCs w:val="4"/>
              </w:rPr>
            </w:pPr>
            <w:r>
              <w:rPr>
                <w:rFonts w:ascii="Arial" w:hAnsi="Arial" w:cs="Arial"/>
                <w:sz w:val="4"/>
                <w:szCs w:val="4"/>
              </w:rPr>
              <w:t> </w:t>
            </w:r>
          </w:p>
          <w:p w14:paraId="14815D80" w14:textId="77777777" w:rsidR="00C15875" w:rsidRDefault="00C15875">
            <w:pPr>
              <w:pStyle w:val="NormalWeb"/>
              <w:spacing w:before="0" w:beforeAutospacing="0" w:after="0" w:afterAutospacing="0"/>
              <w:rPr>
                <w:rFonts w:ascii="Arial" w:hAnsi="Arial" w:cs="Arial"/>
                <w:sz w:val="19"/>
                <w:szCs w:val="19"/>
              </w:rPr>
            </w:pPr>
            <w:r>
              <w:rPr>
                <w:rFonts w:ascii="Arial" w:hAnsi="Arial" w:cs="Arial"/>
                <w:b/>
                <w:bCs/>
                <w:sz w:val="19"/>
                <w:szCs w:val="19"/>
              </w:rPr>
              <w:t>Catherine MacGregor</w:t>
            </w:r>
          </w:p>
          <w:p w14:paraId="41ECAC06"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51</w:t>
            </w:r>
          </w:p>
          <w:p w14:paraId="2F9048AF"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New Nominee</w:t>
            </w:r>
          </w:p>
          <w:p w14:paraId="4D4127A2" w14:textId="77777777" w:rsidR="00C15875" w:rsidRDefault="00C15875">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Group CEO and Director, Engie S.A.</w:t>
            </w:r>
          </w:p>
        </w:tc>
      </w:tr>
      <w:tr w:rsidR="00C15875" w14:paraId="4E4C6379" w14:textId="77777777" w:rsidTr="00BB025D">
        <w:trPr>
          <w:jc w:val="center"/>
        </w:trPr>
        <w:tc>
          <w:tcPr>
            <w:tcW w:w="2172" w:type="dxa"/>
            <w:hideMark/>
          </w:tcPr>
          <w:p w14:paraId="1B12CDF9" w14:textId="53DCEB24" w:rsidR="00C15875" w:rsidRPr="00306F7C" w:rsidRDefault="00C15875" w:rsidP="00237B3C">
            <w:pPr>
              <w:pStyle w:val="NormalWeb"/>
              <w:spacing w:before="80" w:beforeAutospacing="0" w:after="0" w:afterAutospacing="0"/>
              <w:rPr>
                <w:rFonts w:ascii="Arial" w:hAnsi="Arial" w:cs="Arial"/>
                <w:sz w:val="18"/>
                <w:szCs w:val="18"/>
              </w:rPr>
            </w:pPr>
            <w:r>
              <w:rPr>
                <w:rFonts w:ascii="Arial" w:hAnsi="Arial" w:cs="Arial"/>
                <w:noProof/>
                <w:sz w:val="18"/>
                <w:szCs w:val="18"/>
              </w:rPr>
              <w:drawing>
                <wp:inline distT="0" distB="0" distL="0" distR="0" wp14:anchorId="4D2BB2C0" wp14:editId="1EB6734E">
                  <wp:extent cx="914400" cy="914400"/>
                  <wp:effectExtent l="0" t="0" r="0" b="0"/>
                  <wp:docPr id="103504811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48113" name="Picture 19">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B748327" w14:textId="77777777" w:rsidR="00C15875" w:rsidRDefault="00C15875">
            <w:pPr>
              <w:pStyle w:val="NormalWeb"/>
              <w:spacing w:before="0" w:beforeAutospacing="0" w:after="0" w:afterAutospacing="0"/>
              <w:rPr>
                <w:rFonts w:ascii="Arial" w:hAnsi="Arial" w:cs="Arial"/>
                <w:sz w:val="4"/>
                <w:szCs w:val="4"/>
              </w:rPr>
            </w:pPr>
            <w:r>
              <w:rPr>
                <w:rFonts w:ascii="Arial" w:hAnsi="Arial" w:cs="Arial"/>
                <w:sz w:val="4"/>
                <w:szCs w:val="4"/>
              </w:rPr>
              <w:t> </w:t>
            </w:r>
          </w:p>
          <w:p w14:paraId="7FD843C2" w14:textId="77777777" w:rsidR="00C15875" w:rsidRDefault="00C15875">
            <w:pPr>
              <w:pStyle w:val="NormalWeb"/>
              <w:spacing w:before="0" w:beforeAutospacing="0" w:after="0" w:afterAutospacing="0"/>
              <w:rPr>
                <w:rFonts w:ascii="Arial" w:hAnsi="Arial" w:cs="Arial"/>
                <w:sz w:val="19"/>
                <w:szCs w:val="19"/>
              </w:rPr>
            </w:pPr>
            <w:r>
              <w:rPr>
                <w:rFonts w:ascii="Arial" w:hAnsi="Arial" w:cs="Arial"/>
                <w:b/>
                <w:bCs/>
                <w:sz w:val="19"/>
                <w:szCs w:val="19"/>
              </w:rPr>
              <w:t>Mark A. L. Mason</w:t>
            </w:r>
          </w:p>
          <w:p w14:paraId="26AC6C74"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54</w:t>
            </w:r>
          </w:p>
          <w:p w14:paraId="3FC96519"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New Nominee</w:t>
            </w:r>
          </w:p>
          <w:p w14:paraId="2C384A72" w14:textId="77777777" w:rsidR="00C15875" w:rsidRDefault="00C15875">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CFO, Citigroup Inc.</w:t>
            </w:r>
          </w:p>
        </w:tc>
        <w:tc>
          <w:tcPr>
            <w:tcW w:w="451" w:type="dxa"/>
            <w:vMerge/>
            <w:tcMar>
              <w:top w:w="0" w:type="dxa"/>
              <w:left w:w="144" w:type="dxa"/>
              <w:bottom w:w="0" w:type="dxa"/>
              <w:right w:w="0" w:type="dxa"/>
            </w:tcMar>
            <w:hideMark/>
          </w:tcPr>
          <w:p w14:paraId="068CD381" w14:textId="73DCEEBB" w:rsidR="00C15875" w:rsidRDefault="00C15875" w:rsidP="003B393F">
            <w:pPr>
              <w:pStyle w:val="la2"/>
              <w:rPr>
                <w:rFonts w:ascii="Arial" w:hAnsi="Arial" w:cs="Arial"/>
                <w:sz w:val="18"/>
                <w:szCs w:val="18"/>
              </w:rPr>
            </w:pPr>
          </w:p>
        </w:tc>
        <w:tc>
          <w:tcPr>
            <w:tcW w:w="2425" w:type="dxa"/>
            <w:hideMark/>
          </w:tcPr>
          <w:p w14:paraId="639AB867" w14:textId="008A3977" w:rsidR="00C15875" w:rsidRDefault="00C15875" w:rsidP="00237B3C">
            <w:pPr>
              <w:pStyle w:val="NormalWeb"/>
              <w:spacing w:before="80" w:beforeAutospacing="0" w:after="0" w:afterAutospacing="0"/>
              <w:rPr>
                <w:rFonts w:ascii="Arial" w:hAnsi="Arial" w:cs="Arial"/>
                <w:sz w:val="18"/>
                <w:szCs w:val="18"/>
              </w:rPr>
            </w:pPr>
            <w:r>
              <w:rPr>
                <w:rFonts w:ascii="Arial" w:hAnsi="Arial" w:cs="Arial"/>
                <w:noProof/>
                <w:sz w:val="18"/>
                <w:szCs w:val="18"/>
              </w:rPr>
              <w:drawing>
                <wp:inline distT="0" distB="0" distL="0" distR="0" wp14:anchorId="23DC2307" wp14:editId="6E21B8AB">
                  <wp:extent cx="914400" cy="914400"/>
                  <wp:effectExtent l="0" t="0" r="0" b="0"/>
                  <wp:docPr id="1163284083"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84083" name="Picture 20">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1A13EA1" w14:textId="77777777" w:rsidR="00C15875" w:rsidRDefault="00C15875">
            <w:pPr>
              <w:pStyle w:val="NormalWeb"/>
              <w:spacing w:before="0" w:beforeAutospacing="0" w:after="0" w:afterAutospacing="0"/>
              <w:rPr>
                <w:rFonts w:ascii="Arial" w:hAnsi="Arial" w:cs="Arial"/>
                <w:sz w:val="4"/>
                <w:szCs w:val="4"/>
              </w:rPr>
            </w:pPr>
            <w:r>
              <w:rPr>
                <w:rFonts w:ascii="Arial" w:hAnsi="Arial" w:cs="Arial"/>
                <w:sz w:val="4"/>
                <w:szCs w:val="4"/>
              </w:rPr>
              <w:t> </w:t>
            </w:r>
          </w:p>
          <w:p w14:paraId="61EC7FF3" w14:textId="77777777" w:rsidR="00C15875" w:rsidRDefault="00C15875">
            <w:pPr>
              <w:pStyle w:val="NormalWeb"/>
              <w:spacing w:before="0" w:beforeAutospacing="0" w:after="0" w:afterAutospacing="0"/>
              <w:rPr>
                <w:rFonts w:ascii="Arial" w:hAnsi="Arial" w:cs="Arial"/>
                <w:sz w:val="19"/>
                <w:szCs w:val="19"/>
              </w:rPr>
            </w:pPr>
            <w:r>
              <w:rPr>
                <w:rFonts w:ascii="Arial" w:hAnsi="Arial" w:cs="Arial"/>
                <w:b/>
                <w:bCs/>
                <w:sz w:val="19"/>
                <w:szCs w:val="19"/>
              </w:rPr>
              <w:t xml:space="preserve">Satya Nadella </w:t>
            </w:r>
            <w:r>
              <w:rPr>
                <w:rFonts w:ascii="Arial" w:hAnsi="Arial" w:cs="Arial"/>
                <w:sz w:val="16"/>
                <w:szCs w:val="16"/>
              </w:rPr>
              <w:t>(Board Chair)</w:t>
            </w:r>
          </w:p>
          <w:p w14:paraId="48F588D5"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56</w:t>
            </w:r>
          </w:p>
          <w:p w14:paraId="0E8F4161"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2014</w:t>
            </w:r>
          </w:p>
          <w:p w14:paraId="28CBCC3B" w14:textId="77777777" w:rsidR="00C15875" w:rsidRDefault="00C15875">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Chairman and CEO, Microsoft Corporation</w:t>
            </w:r>
          </w:p>
        </w:tc>
        <w:tc>
          <w:tcPr>
            <w:tcW w:w="556" w:type="dxa"/>
            <w:tcMar>
              <w:top w:w="0" w:type="dxa"/>
              <w:left w:w="144" w:type="dxa"/>
              <w:bottom w:w="0" w:type="dxa"/>
              <w:right w:w="0" w:type="dxa"/>
            </w:tcMar>
            <w:hideMark/>
          </w:tcPr>
          <w:p w14:paraId="2D66AA6F" w14:textId="77777777" w:rsidR="00C15875" w:rsidRDefault="00C15875">
            <w:pPr>
              <w:pStyle w:val="la2"/>
              <w:rPr>
                <w:rFonts w:ascii="Arial" w:hAnsi="Arial" w:cs="Arial"/>
                <w:sz w:val="18"/>
                <w:szCs w:val="18"/>
              </w:rPr>
            </w:pPr>
            <w:r>
              <w:rPr>
                <w:rFonts w:ascii="Arial" w:hAnsi="Arial" w:cs="Arial"/>
                <w:sz w:val="18"/>
                <w:szCs w:val="18"/>
              </w:rPr>
              <w:t> </w:t>
            </w:r>
          </w:p>
        </w:tc>
        <w:tc>
          <w:tcPr>
            <w:tcW w:w="2320" w:type="dxa"/>
            <w:hideMark/>
          </w:tcPr>
          <w:p w14:paraId="56A5243D" w14:textId="38FBEC65" w:rsidR="00C15875" w:rsidRDefault="00C15875" w:rsidP="00237B3C">
            <w:pPr>
              <w:pStyle w:val="NormalWeb"/>
              <w:spacing w:before="80" w:beforeAutospacing="0" w:after="0" w:afterAutospacing="0"/>
              <w:rPr>
                <w:rFonts w:ascii="Arial" w:hAnsi="Arial" w:cs="Arial"/>
                <w:sz w:val="18"/>
                <w:szCs w:val="18"/>
              </w:rPr>
            </w:pPr>
            <w:r>
              <w:rPr>
                <w:rFonts w:ascii="Arial" w:hAnsi="Arial" w:cs="Arial"/>
                <w:noProof/>
                <w:sz w:val="18"/>
                <w:szCs w:val="18"/>
              </w:rPr>
              <w:drawing>
                <wp:inline distT="0" distB="0" distL="0" distR="0" wp14:anchorId="58CD16E2" wp14:editId="346DAA0E">
                  <wp:extent cx="914400" cy="914400"/>
                  <wp:effectExtent l="0" t="0" r="0" b="0"/>
                  <wp:docPr id="127388159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81598" name="Picture 2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186C0FAE" w14:textId="77777777" w:rsidR="00C15875" w:rsidRDefault="00C15875">
            <w:pPr>
              <w:pStyle w:val="NormalWeb"/>
              <w:spacing w:before="0" w:beforeAutospacing="0" w:after="0" w:afterAutospacing="0"/>
              <w:rPr>
                <w:rFonts w:ascii="Arial" w:hAnsi="Arial" w:cs="Arial"/>
                <w:sz w:val="4"/>
                <w:szCs w:val="4"/>
              </w:rPr>
            </w:pPr>
            <w:r>
              <w:rPr>
                <w:rFonts w:ascii="Arial" w:hAnsi="Arial" w:cs="Arial"/>
                <w:sz w:val="4"/>
                <w:szCs w:val="4"/>
              </w:rPr>
              <w:t> </w:t>
            </w:r>
          </w:p>
          <w:p w14:paraId="04A23FAF" w14:textId="77777777" w:rsidR="00C15875" w:rsidRDefault="00C15875">
            <w:pPr>
              <w:pStyle w:val="NormalWeb"/>
              <w:spacing w:before="0" w:beforeAutospacing="0" w:after="0" w:afterAutospacing="0"/>
              <w:rPr>
                <w:rFonts w:ascii="Arial" w:hAnsi="Arial" w:cs="Arial"/>
                <w:sz w:val="19"/>
                <w:szCs w:val="19"/>
              </w:rPr>
            </w:pPr>
            <w:r>
              <w:rPr>
                <w:rFonts w:ascii="Arial" w:hAnsi="Arial" w:cs="Arial"/>
                <w:b/>
                <w:bCs/>
                <w:sz w:val="19"/>
                <w:szCs w:val="19"/>
              </w:rPr>
              <w:t>Sandra E. Peterson</w:t>
            </w:r>
          </w:p>
          <w:p w14:paraId="5F71DC43"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64</w:t>
            </w:r>
          </w:p>
          <w:p w14:paraId="2E1BDF51"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2015</w:t>
            </w:r>
          </w:p>
          <w:p w14:paraId="7E52EC41" w14:textId="77777777" w:rsidR="00C15875" w:rsidRDefault="00C15875">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Lead Independent Director, Microsoft Corporation; Operating Partner, Clayton, Dubilier &amp; Rice, LLC</w:t>
            </w:r>
          </w:p>
        </w:tc>
        <w:tc>
          <w:tcPr>
            <w:tcW w:w="547" w:type="dxa"/>
            <w:vMerge/>
            <w:tcMar>
              <w:top w:w="0" w:type="dxa"/>
              <w:left w:w="144" w:type="dxa"/>
              <w:bottom w:w="0" w:type="dxa"/>
              <w:right w:w="0" w:type="dxa"/>
            </w:tcMar>
            <w:hideMark/>
          </w:tcPr>
          <w:p w14:paraId="4E3E84E8" w14:textId="2886C405" w:rsidR="00C15875" w:rsidRDefault="00C15875" w:rsidP="00DF50EF">
            <w:pPr>
              <w:pStyle w:val="la2"/>
              <w:rPr>
                <w:rFonts w:ascii="Arial" w:hAnsi="Arial" w:cs="Arial"/>
                <w:sz w:val="18"/>
                <w:szCs w:val="18"/>
              </w:rPr>
            </w:pPr>
          </w:p>
        </w:tc>
        <w:tc>
          <w:tcPr>
            <w:tcW w:w="2329" w:type="dxa"/>
            <w:hideMark/>
          </w:tcPr>
          <w:p w14:paraId="4F7D8588" w14:textId="42106523" w:rsidR="00C15875" w:rsidRDefault="00C15875" w:rsidP="00237B3C">
            <w:pPr>
              <w:pStyle w:val="NormalWeb"/>
              <w:spacing w:before="80" w:beforeAutospacing="0" w:after="0" w:afterAutospacing="0"/>
              <w:rPr>
                <w:rFonts w:ascii="Arial" w:hAnsi="Arial" w:cs="Arial"/>
                <w:sz w:val="18"/>
                <w:szCs w:val="18"/>
              </w:rPr>
            </w:pPr>
            <w:r>
              <w:rPr>
                <w:rFonts w:ascii="Arial" w:hAnsi="Arial" w:cs="Arial"/>
                <w:noProof/>
                <w:sz w:val="18"/>
                <w:szCs w:val="18"/>
              </w:rPr>
              <w:drawing>
                <wp:inline distT="0" distB="0" distL="0" distR="0" wp14:anchorId="3AB7DDCD" wp14:editId="09CA6412">
                  <wp:extent cx="914400" cy="914400"/>
                  <wp:effectExtent l="0" t="0" r="0" b="0"/>
                  <wp:docPr id="348032938"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32938" name="Picture 22">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1D7896AA" w14:textId="77777777" w:rsidR="00C15875" w:rsidRDefault="00C15875">
            <w:pPr>
              <w:pStyle w:val="NormalWeb"/>
              <w:spacing w:before="0" w:beforeAutospacing="0" w:after="0" w:afterAutospacing="0"/>
              <w:rPr>
                <w:rFonts w:ascii="Arial" w:hAnsi="Arial" w:cs="Arial"/>
                <w:sz w:val="4"/>
                <w:szCs w:val="4"/>
              </w:rPr>
            </w:pPr>
            <w:r>
              <w:rPr>
                <w:rFonts w:ascii="Arial" w:hAnsi="Arial" w:cs="Arial"/>
                <w:sz w:val="4"/>
                <w:szCs w:val="4"/>
              </w:rPr>
              <w:t> </w:t>
            </w:r>
          </w:p>
          <w:p w14:paraId="3638AC95" w14:textId="77777777" w:rsidR="00C15875" w:rsidRDefault="00C15875">
            <w:pPr>
              <w:pStyle w:val="NormalWeb"/>
              <w:spacing w:before="0" w:beforeAutospacing="0" w:after="0" w:afterAutospacing="0"/>
              <w:rPr>
                <w:rFonts w:ascii="Arial" w:hAnsi="Arial" w:cs="Arial"/>
                <w:sz w:val="19"/>
                <w:szCs w:val="19"/>
              </w:rPr>
            </w:pPr>
            <w:r>
              <w:rPr>
                <w:rFonts w:ascii="Arial" w:hAnsi="Arial" w:cs="Arial"/>
                <w:b/>
                <w:bCs/>
                <w:sz w:val="19"/>
                <w:szCs w:val="19"/>
              </w:rPr>
              <w:t>Penny S. Pritzker</w:t>
            </w:r>
          </w:p>
          <w:p w14:paraId="3741AC24"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64</w:t>
            </w:r>
          </w:p>
          <w:p w14:paraId="6D75BD03"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2017</w:t>
            </w:r>
          </w:p>
          <w:p w14:paraId="58E1176C" w14:textId="77777777" w:rsidR="00C15875" w:rsidRDefault="00C15875">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Founder and Chairman, PSP Partners, LLC</w:t>
            </w:r>
          </w:p>
        </w:tc>
      </w:tr>
      <w:tr w:rsidR="00C15875" w14:paraId="39E90C5F" w14:textId="77777777" w:rsidTr="00BB025D">
        <w:trPr>
          <w:jc w:val="center"/>
        </w:trPr>
        <w:tc>
          <w:tcPr>
            <w:tcW w:w="2172" w:type="dxa"/>
            <w:hideMark/>
          </w:tcPr>
          <w:p w14:paraId="3C091627" w14:textId="5DE88D2B" w:rsidR="00C15875" w:rsidRPr="00306F7C" w:rsidRDefault="00C15875" w:rsidP="00237B3C">
            <w:pPr>
              <w:pStyle w:val="NormalWeb"/>
              <w:spacing w:before="80" w:beforeAutospacing="0" w:after="0" w:afterAutospacing="0"/>
              <w:rPr>
                <w:rFonts w:ascii="Arial" w:hAnsi="Arial" w:cs="Arial"/>
                <w:sz w:val="18"/>
                <w:szCs w:val="18"/>
              </w:rPr>
            </w:pPr>
            <w:r>
              <w:rPr>
                <w:rFonts w:ascii="Arial" w:hAnsi="Arial" w:cs="Arial"/>
                <w:noProof/>
                <w:sz w:val="18"/>
                <w:szCs w:val="18"/>
              </w:rPr>
              <w:drawing>
                <wp:inline distT="0" distB="0" distL="0" distR="0" wp14:anchorId="2166F1CD" wp14:editId="5D7D91BC">
                  <wp:extent cx="914400" cy="914400"/>
                  <wp:effectExtent l="0" t="0" r="0" b="0"/>
                  <wp:docPr id="796819126"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19126" name="Picture 23">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3A397BB" w14:textId="77777777" w:rsidR="00C15875" w:rsidRDefault="00C15875">
            <w:pPr>
              <w:pStyle w:val="NormalWeb"/>
              <w:spacing w:before="0" w:beforeAutospacing="0" w:after="0" w:afterAutospacing="0"/>
              <w:rPr>
                <w:rFonts w:ascii="Arial" w:hAnsi="Arial" w:cs="Arial"/>
                <w:sz w:val="4"/>
                <w:szCs w:val="4"/>
              </w:rPr>
            </w:pPr>
            <w:r>
              <w:rPr>
                <w:rFonts w:ascii="Arial" w:hAnsi="Arial" w:cs="Arial"/>
                <w:sz w:val="4"/>
                <w:szCs w:val="4"/>
              </w:rPr>
              <w:t> </w:t>
            </w:r>
          </w:p>
          <w:p w14:paraId="7600B84C" w14:textId="77777777" w:rsidR="00C15875" w:rsidRDefault="00C15875">
            <w:pPr>
              <w:pStyle w:val="NormalWeb"/>
              <w:spacing w:before="0" w:beforeAutospacing="0" w:after="0" w:afterAutospacing="0"/>
              <w:rPr>
                <w:rFonts w:ascii="Arial" w:hAnsi="Arial" w:cs="Arial"/>
                <w:sz w:val="19"/>
                <w:szCs w:val="19"/>
              </w:rPr>
            </w:pPr>
            <w:r>
              <w:rPr>
                <w:rFonts w:ascii="Arial" w:hAnsi="Arial" w:cs="Arial"/>
                <w:b/>
                <w:bCs/>
                <w:sz w:val="19"/>
                <w:szCs w:val="19"/>
              </w:rPr>
              <w:t>Carlos A. Rodriguez</w:t>
            </w:r>
          </w:p>
          <w:p w14:paraId="14AB33DF"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59</w:t>
            </w:r>
          </w:p>
          <w:p w14:paraId="06F1BA06"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2021</w:t>
            </w:r>
          </w:p>
          <w:p w14:paraId="027A1AA7" w14:textId="77777777" w:rsidR="00C15875" w:rsidRDefault="00C15875">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Executive Chair, Automatic Data Processing, Inc.</w:t>
            </w:r>
          </w:p>
        </w:tc>
        <w:tc>
          <w:tcPr>
            <w:tcW w:w="451" w:type="dxa"/>
            <w:vMerge/>
            <w:tcMar>
              <w:top w:w="0" w:type="dxa"/>
              <w:left w:w="144" w:type="dxa"/>
              <w:bottom w:w="0" w:type="dxa"/>
              <w:right w:w="0" w:type="dxa"/>
            </w:tcMar>
            <w:hideMark/>
          </w:tcPr>
          <w:p w14:paraId="215D1B10" w14:textId="051B09AD" w:rsidR="00C15875" w:rsidRDefault="00C15875">
            <w:pPr>
              <w:pStyle w:val="la2"/>
              <w:rPr>
                <w:rFonts w:ascii="Arial" w:hAnsi="Arial" w:cs="Arial"/>
                <w:sz w:val="18"/>
                <w:szCs w:val="18"/>
              </w:rPr>
            </w:pPr>
          </w:p>
        </w:tc>
        <w:tc>
          <w:tcPr>
            <w:tcW w:w="2425" w:type="dxa"/>
            <w:hideMark/>
          </w:tcPr>
          <w:p w14:paraId="0BE3F69B" w14:textId="2E3FE44A" w:rsidR="00C15875" w:rsidRDefault="00C15875" w:rsidP="00237B3C">
            <w:pPr>
              <w:pStyle w:val="NormalWeb"/>
              <w:spacing w:before="80" w:beforeAutospacing="0" w:after="0" w:afterAutospacing="0"/>
              <w:rPr>
                <w:rFonts w:ascii="Arial" w:hAnsi="Arial" w:cs="Arial"/>
                <w:sz w:val="18"/>
                <w:szCs w:val="18"/>
              </w:rPr>
            </w:pPr>
            <w:r>
              <w:rPr>
                <w:rFonts w:ascii="Arial" w:hAnsi="Arial" w:cs="Arial"/>
                <w:noProof/>
                <w:sz w:val="18"/>
                <w:szCs w:val="18"/>
              </w:rPr>
              <w:drawing>
                <wp:inline distT="0" distB="0" distL="0" distR="0" wp14:anchorId="02998533" wp14:editId="312E6FA3">
                  <wp:extent cx="914400" cy="914400"/>
                  <wp:effectExtent l="0" t="0" r="0" b="0"/>
                  <wp:docPr id="198012992"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2992" name="Picture 24">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3784EDB" w14:textId="77777777" w:rsidR="00C15875" w:rsidRDefault="00C15875">
            <w:pPr>
              <w:pStyle w:val="NormalWeb"/>
              <w:spacing w:before="0" w:beforeAutospacing="0" w:after="0" w:afterAutospacing="0"/>
              <w:rPr>
                <w:rFonts w:ascii="Arial" w:hAnsi="Arial" w:cs="Arial"/>
                <w:sz w:val="4"/>
                <w:szCs w:val="4"/>
              </w:rPr>
            </w:pPr>
            <w:r>
              <w:rPr>
                <w:rFonts w:ascii="Arial" w:hAnsi="Arial" w:cs="Arial"/>
                <w:sz w:val="4"/>
                <w:szCs w:val="4"/>
              </w:rPr>
              <w:t> </w:t>
            </w:r>
          </w:p>
          <w:p w14:paraId="79760A63" w14:textId="77777777" w:rsidR="00C15875" w:rsidRDefault="00C15875">
            <w:pPr>
              <w:pStyle w:val="NormalWeb"/>
              <w:spacing w:before="0" w:beforeAutospacing="0" w:after="0" w:afterAutospacing="0"/>
              <w:rPr>
                <w:rFonts w:ascii="Arial" w:hAnsi="Arial" w:cs="Arial"/>
                <w:sz w:val="19"/>
                <w:szCs w:val="19"/>
              </w:rPr>
            </w:pPr>
            <w:r>
              <w:rPr>
                <w:rFonts w:ascii="Arial" w:hAnsi="Arial" w:cs="Arial"/>
                <w:b/>
                <w:bCs/>
                <w:sz w:val="19"/>
                <w:szCs w:val="19"/>
              </w:rPr>
              <w:t>Charles W. Scharf</w:t>
            </w:r>
          </w:p>
          <w:p w14:paraId="40796835"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58</w:t>
            </w:r>
          </w:p>
          <w:p w14:paraId="0C9F96FE"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2014</w:t>
            </w:r>
          </w:p>
          <w:p w14:paraId="61704AAA" w14:textId="77777777" w:rsidR="00C15875" w:rsidRDefault="00C15875">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CEO, President, and Director, Wells Fargo &amp; Company</w:t>
            </w:r>
          </w:p>
        </w:tc>
        <w:tc>
          <w:tcPr>
            <w:tcW w:w="556" w:type="dxa"/>
            <w:tcMar>
              <w:top w:w="0" w:type="dxa"/>
              <w:left w:w="144" w:type="dxa"/>
              <w:bottom w:w="0" w:type="dxa"/>
              <w:right w:w="0" w:type="dxa"/>
            </w:tcMar>
            <w:hideMark/>
          </w:tcPr>
          <w:p w14:paraId="2BED4509" w14:textId="77777777" w:rsidR="00C15875" w:rsidRDefault="00C15875">
            <w:pPr>
              <w:pStyle w:val="la2"/>
              <w:rPr>
                <w:rFonts w:ascii="Arial" w:hAnsi="Arial" w:cs="Arial"/>
                <w:sz w:val="18"/>
                <w:szCs w:val="18"/>
              </w:rPr>
            </w:pPr>
            <w:r>
              <w:rPr>
                <w:rFonts w:ascii="Arial" w:hAnsi="Arial" w:cs="Arial"/>
                <w:sz w:val="18"/>
                <w:szCs w:val="18"/>
              </w:rPr>
              <w:t> </w:t>
            </w:r>
          </w:p>
        </w:tc>
        <w:tc>
          <w:tcPr>
            <w:tcW w:w="2320" w:type="dxa"/>
            <w:hideMark/>
          </w:tcPr>
          <w:p w14:paraId="487E259D" w14:textId="0A70F51C" w:rsidR="00C15875" w:rsidRDefault="00C15875" w:rsidP="00237B3C">
            <w:pPr>
              <w:pStyle w:val="NormalWeb"/>
              <w:spacing w:before="80" w:beforeAutospacing="0" w:after="0" w:afterAutospacing="0"/>
              <w:rPr>
                <w:rFonts w:ascii="Arial" w:hAnsi="Arial" w:cs="Arial"/>
                <w:sz w:val="18"/>
                <w:szCs w:val="18"/>
              </w:rPr>
            </w:pPr>
            <w:r>
              <w:rPr>
                <w:rFonts w:ascii="Arial" w:hAnsi="Arial" w:cs="Arial"/>
                <w:noProof/>
                <w:sz w:val="18"/>
                <w:szCs w:val="18"/>
              </w:rPr>
              <w:drawing>
                <wp:inline distT="0" distB="0" distL="0" distR="0" wp14:anchorId="031BE058" wp14:editId="326D965E">
                  <wp:extent cx="914400" cy="914400"/>
                  <wp:effectExtent l="0" t="0" r="0" b="0"/>
                  <wp:docPr id="1892080173"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80173" name="Picture 25">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2A75CC7B" w14:textId="77777777" w:rsidR="00C15875" w:rsidRDefault="00C15875">
            <w:pPr>
              <w:pStyle w:val="NormalWeb"/>
              <w:spacing w:before="0" w:beforeAutospacing="0" w:after="0" w:afterAutospacing="0"/>
              <w:rPr>
                <w:rFonts w:ascii="Arial" w:hAnsi="Arial" w:cs="Arial"/>
                <w:sz w:val="4"/>
                <w:szCs w:val="4"/>
              </w:rPr>
            </w:pPr>
            <w:r>
              <w:rPr>
                <w:rFonts w:ascii="Arial" w:hAnsi="Arial" w:cs="Arial"/>
                <w:sz w:val="4"/>
                <w:szCs w:val="4"/>
              </w:rPr>
              <w:t> </w:t>
            </w:r>
          </w:p>
          <w:p w14:paraId="0432595D" w14:textId="77777777" w:rsidR="00C15875" w:rsidRDefault="00C15875">
            <w:pPr>
              <w:pStyle w:val="NormalWeb"/>
              <w:spacing w:before="0" w:beforeAutospacing="0" w:after="0" w:afterAutospacing="0"/>
              <w:rPr>
                <w:rFonts w:ascii="Arial" w:hAnsi="Arial" w:cs="Arial"/>
                <w:sz w:val="19"/>
                <w:szCs w:val="19"/>
              </w:rPr>
            </w:pPr>
            <w:r>
              <w:rPr>
                <w:rFonts w:ascii="Arial" w:hAnsi="Arial" w:cs="Arial"/>
                <w:b/>
                <w:bCs/>
                <w:sz w:val="19"/>
                <w:szCs w:val="19"/>
              </w:rPr>
              <w:t>John W. Stanton</w:t>
            </w:r>
          </w:p>
          <w:p w14:paraId="1A9AEDA0"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68</w:t>
            </w:r>
          </w:p>
          <w:p w14:paraId="449AC660"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2014</w:t>
            </w:r>
          </w:p>
          <w:p w14:paraId="00B93402" w14:textId="77777777" w:rsidR="00C15875" w:rsidRDefault="00C15875">
            <w:pPr>
              <w:pStyle w:val="NormalWeb"/>
              <w:spacing w:before="0" w:beforeAutospacing="0" w:after="20" w:afterAutospacing="0"/>
              <w:ind w:right="-79"/>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Founder and Chairman, Trilogy Partnerships</w:t>
            </w:r>
          </w:p>
        </w:tc>
        <w:tc>
          <w:tcPr>
            <w:tcW w:w="547" w:type="dxa"/>
            <w:vMerge/>
            <w:tcMar>
              <w:top w:w="0" w:type="dxa"/>
              <w:left w:w="144" w:type="dxa"/>
              <w:bottom w:w="0" w:type="dxa"/>
              <w:right w:w="0" w:type="dxa"/>
            </w:tcMar>
            <w:hideMark/>
          </w:tcPr>
          <w:p w14:paraId="5C0CF01D" w14:textId="02A3D0C4" w:rsidR="00C15875" w:rsidRDefault="00C15875">
            <w:pPr>
              <w:pStyle w:val="la2"/>
              <w:rPr>
                <w:rFonts w:ascii="Arial" w:hAnsi="Arial" w:cs="Arial"/>
                <w:sz w:val="18"/>
                <w:szCs w:val="18"/>
              </w:rPr>
            </w:pPr>
          </w:p>
        </w:tc>
        <w:tc>
          <w:tcPr>
            <w:tcW w:w="2329" w:type="dxa"/>
            <w:hideMark/>
          </w:tcPr>
          <w:p w14:paraId="77647BFF" w14:textId="5F2EB784" w:rsidR="00C15875" w:rsidRDefault="00C15875" w:rsidP="00237B3C">
            <w:pPr>
              <w:pStyle w:val="NormalWeb"/>
              <w:spacing w:before="80" w:beforeAutospacing="0" w:after="0" w:afterAutospacing="0"/>
              <w:rPr>
                <w:rFonts w:ascii="Arial" w:hAnsi="Arial" w:cs="Arial"/>
                <w:sz w:val="18"/>
                <w:szCs w:val="18"/>
              </w:rPr>
            </w:pPr>
            <w:r>
              <w:rPr>
                <w:rFonts w:ascii="Arial" w:hAnsi="Arial" w:cs="Arial"/>
                <w:noProof/>
                <w:sz w:val="18"/>
                <w:szCs w:val="18"/>
              </w:rPr>
              <w:drawing>
                <wp:inline distT="0" distB="0" distL="0" distR="0" wp14:anchorId="2B32D76E" wp14:editId="5872427D">
                  <wp:extent cx="914400" cy="914400"/>
                  <wp:effectExtent l="0" t="0" r="0" b="0"/>
                  <wp:docPr id="1335638758"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38758" name="Picture 26">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64F5EDC8" w14:textId="77777777" w:rsidR="00C15875" w:rsidRDefault="00C15875">
            <w:pPr>
              <w:pStyle w:val="NormalWeb"/>
              <w:spacing w:before="0" w:beforeAutospacing="0" w:after="0" w:afterAutospacing="0"/>
              <w:rPr>
                <w:rFonts w:ascii="Arial" w:hAnsi="Arial" w:cs="Arial"/>
                <w:sz w:val="4"/>
                <w:szCs w:val="4"/>
              </w:rPr>
            </w:pPr>
            <w:r>
              <w:rPr>
                <w:rFonts w:ascii="Arial" w:hAnsi="Arial" w:cs="Arial"/>
                <w:sz w:val="4"/>
                <w:szCs w:val="4"/>
              </w:rPr>
              <w:t> </w:t>
            </w:r>
          </w:p>
          <w:p w14:paraId="49AFED25" w14:textId="77777777" w:rsidR="00C15875" w:rsidRDefault="00C15875">
            <w:pPr>
              <w:pStyle w:val="NormalWeb"/>
              <w:spacing w:before="0" w:beforeAutospacing="0" w:after="0" w:afterAutospacing="0"/>
              <w:rPr>
                <w:rFonts w:ascii="Arial" w:hAnsi="Arial" w:cs="Arial"/>
                <w:sz w:val="19"/>
                <w:szCs w:val="19"/>
              </w:rPr>
            </w:pPr>
            <w:r>
              <w:rPr>
                <w:rFonts w:ascii="Arial" w:hAnsi="Arial" w:cs="Arial"/>
                <w:b/>
                <w:bCs/>
                <w:sz w:val="19"/>
                <w:szCs w:val="19"/>
              </w:rPr>
              <w:t>Emma N. Walmsley</w:t>
            </w:r>
          </w:p>
          <w:p w14:paraId="7D2975F6"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54</w:t>
            </w:r>
          </w:p>
          <w:p w14:paraId="3A9F502F" w14:textId="77777777" w:rsidR="00C15875" w:rsidRDefault="00C15875">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2019</w:t>
            </w:r>
          </w:p>
          <w:p w14:paraId="0CD3F19F" w14:textId="77777777" w:rsidR="00C15875" w:rsidRDefault="00C15875">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CEO and Director, GSK plc</w:t>
            </w:r>
          </w:p>
        </w:tc>
      </w:tr>
    </w:tbl>
    <w:p w14:paraId="3C8C6769" w14:textId="77777777" w:rsidR="00D246A9" w:rsidRPr="00306F7C" w:rsidRDefault="00D246A9">
      <w:pPr>
        <w:pStyle w:val="NormalWeb"/>
        <w:spacing w:before="180" w:beforeAutospacing="0" w:after="0" w:afterAutospacing="0"/>
        <w:rPr>
          <w:sz w:val="2"/>
          <w:szCs w:val="2"/>
        </w:rPr>
      </w:pPr>
      <w:r>
        <w:rPr>
          <w:sz w:val="2"/>
          <w:szCs w:val="2"/>
        </w:rPr>
        <w:t> </w:t>
      </w:r>
    </w:p>
    <w:p w14:paraId="71680B3F" w14:textId="77777777" w:rsidR="00D246A9" w:rsidRDefault="00D246A9" w:rsidP="00127B7A">
      <w:pPr>
        <w:pStyle w:val="NormalWeb"/>
        <w:pageBreakBefore/>
        <w:spacing w:before="0" w:beforeAutospacing="0" w:after="0" w:afterAutospacing="0"/>
        <w:rPr>
          <w:rFonts w:ascii="Arial" w:hAnsi="Arial" w:cs="Arial"/>
        </w:rPr>
      </w:pPr>
      <w:bookmarkStart w:id="31" w:name="toc356108_32"/>
      <w:bookmarkEnd w:id="31"/>
      <w:r>
        <w:rPr>
          <w:rFonts w:ascii="Arial" w:hAnsi="Arial" w:cs="Arial"/>
          <w:b/>
          <w:bCs/>
        </w:rPr>
        <w:lastRenderedPageBreak/>
        <w:t xml:space="preserve">Proposal 2: Advisory Vote to Approve Named Executive Officer Compensation </w:t>
      </w:r>
    </w:p>
    <w:p w14:paraId="3F846380"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Pursuant to Section 14A of the Securities Exchange Act of 1934, we are asking for your advisory vote on the following resolution (“say-on-pay vote” resolution): </w:t>
      </w:r>
    </w:p>
    <w:p w14:paraId="54EA09D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“Resolved, that the shareholders approve, in a nonbinding vote, the compensation paid to the Company’s Named Executive Officers, as disclosed in Part 2 – Named Executive Officer Compensation.” </w:t>
      </w:r>
    </w:p>
    <w:p w14:paraId="3187EC2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Receipt of a majority of the votes cast is required to approve this proposal. We hold our say-on-pay vote every year and expect to hold another say-on-pay vote at our 2023 Annual Meeting. </w:t>
      </w:r>
    </w:p>
    <w:p w14:paraId="467C2BE0"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i/>
          <w:iCs/>
          <w:color w:val="0075C9"/>
          <w:sz w:val="20"/>
          <w:szCs w:val="20"/>
        </w:rPr>
        <w:t xml:space="preserve">Our Board of Directors recommends a vote FOR approval, on a non-binding, advisory </w:t>
      </w:r>
      <w:proofErr w:type="gramStart"/>
      <w:r>
        <w:rPr>
          <w:rFonts w:ascii="Arial" w:hAnsi="Arial" w:cs="Arial"/>
          <w:b/>
          <w:bCs/>
          <w:i/>
          <w:iCs/>
          <w:color w:val="0075C9"/>
          <w:sz w:val="20"/>
          <w:szCs w:val="20"/>
        </w:rPr>
        <w:t>basis,</w:t>
      </w:r>
      <w:proofErr w:type="gramEnd"/>
      <w:r>
        <w:rPr>
          <w:rFonts w:ascii="Arial" w:hAnsi="Arial" w:cs="Arial"/>
          <w:b/>
          <w:bCs/>
          <w:i/>
          <w:iCs/>
          <w:color w:val="0075C9"/>
          <w:sz w:val="20"/>
          <w:szCs w:val="20"/>
        </w:rPr>
        <w:t xml:space="preserve"> of the compensation paid to our Named Executive Officers. </w:t>
      </w:r>
    </w:p>
    <w:p w14:paraId="24AC0CB0" w14:textId="77777777" w:rsidR="00D246A9" w:rsidRDefault="00D246A9" w:rsidP="007D1AD1">
      <w:pPr>
        <w:pStyle w:val="Heading4"/>
      </w:pPr>
      <w:r>
        <w:t xml:space="preserve">Statement in Support </w:t>
      </w:r>
    </w:p>
    <w:p w14:paraId="776F8D62"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color w:val="0075C9"/>
          <w:sz w:val="18"/>
          <w:szCs w:val="18"/>
        </w:rPr>
        <w:t xml:space="preserve">Pay for Performance </w:t>
      </w:r>
    </w:p>
    <w:p w14:paraId="0D8FD374" w14:textId="1494940B"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Through our ongoing shareholder engagement, we receive consistent feedback that our investors favor incentive compensation arrangements tied to specific performance measures that drive long-term performance and value creation. We have responded to investor feedback, and our program design has evolved so that it incorporates performance elements directly linked to achievement of our long-term strategic goals. </w:t>
      </w:r>
    </w:p>
    <w:p w14:paraId="2353941C" w14:textId="323AB3B0" w:rsidR="00DD02F8" w:rsidRPr="00DD02F8" w:rsidRDefault="00DD02F8" w:rsidP="00DD02F8">
      <w:pPr>
        <w:pStyle w:val="NormalWeb"/>
        <w:keepNext/>
        <w:spacing w:before="0" w:beforeAutospacing="0" w:after="0" w:afterAutospacing="0"/>
        <w:rPr>
          <w:rFonts w:ascii="Arial" w:hAnsi="Arial" w:cs="Arial"/>
          <w:sz w:val="18"/>
          <w:szCs w:val="18"/>
        </w:rPr>
      </w:pPr>
      <w:r>
        <w:rPr>
          <w:rFonts w:ascii="Arial" w:hAnsi="Arial" w:cs="Arial"/>
          <w:sz w:val="18"/>
          <w:szCs w:val="18"/>
        </w:rPr>
        <w:t>Key features of our fiscal year 2023 executive compensation program were:</w:t>
      </w:r>
    </w:p>
    <w:p w14:paraId="547C99AD" w14:textId="2EDB3509" w:rsidR="00DD02F8" w:rsidRPr="00DD02F8" w:rsidRDefault="00DD02F8" w:rsidP="00DD02F8">
      <w:pPr>
        <w:pStyle w:val="NormalWeb"/>
        <w:spacing w:before="120" w:beforeAutospacing="0" w:after="0" w:afterAutospacing="0"/>
        <w:ind w:left="180" w:hanging="194"/>
        <w:rPr>
          <w:rFonts w:ascii="Arial" w:hAnsi="Arial" w:cs="Arial"/>
          <w:sz w:val="18"/>
          <w:szCs w:val="18"/>
        </w:rPr>
      </w:pPr>
      <w:r>
        <w:rPr>
          <w:rFonts w:ascii="Arial" w:hAnsi="Arial" w:cs="Arial"/>
          <w:noProof/>
          <w:sz w:val="18"/>
          <w:szCs w:val="18"/>
        </w:rPr>
        <w:drawing>
          <wp:anchor distT="0" distB="0" distL="114300" distR="114300" simplePos="0" relativeHeight="251672575" behindDoc="1" locked="0" layoutInCell="1" allowOverlap="1" wp14:anchorId="1530A21F" wp14:editId="110C29ED">
            <wp:simplePos x="0" y="0"/>
            <wp:positionH relativeFrom="column">
              <wp:posOffset>3951850</wp:posOffset>
            </wp:positionH>
            <wp:positionV relativeFrom="paragraph">
              <wp:posOffset>103119</wp:posOffset>
            </wp:positionV>
            <wp:extent cx="2848826" cy="2328073"/>
            <wp:effectExtent l="0" t="0" r="8890" b="0"/>
            <wp:wrapTight wrapText="bothSides">
              <wp:wrapPolygon edited="0">
                <wp:start x="0" y="0"/>
                <wp:lineTo x="0" y="21388"/>
                <wp:lineTo x="21523" y="21388"/>
                <wp:lineTo x="21523" y="0"/>
                <wp:lineTo x="0" y="0"/>
              </wp:wrapPolygon>
            </wp:wrapTight>
            <wp:docPr id="149923942"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3942" name="Picture 27">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2848826" cy="232807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szCs w:val="18"/>
        </w:rPr>
        <w:t>•  Over 95% of the annual target compensation opportunity for our CEO was performance-based and over 50% of the total pay opportunity for other Named Executive Officers was performance-based</w:t>
      </w:r>
    </w:p>
    <w:p w14:paraId="33D1BBF4" w14:textId="74063704" w:rsidR="00DD02F8" w:rsidRPr="00DD02F8" w:rsidRDefault="00DD02F8" w:rsidP="00DD02F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  100% of our CEO’s annual target equity opportunity was delivered in the form of a performance-based stock award (50% for our other Named Executives), with payouts based on achievement against pre-established quantitative performance metrics</w:t>
      </w:r>
    </w:p>
    <w:p w14:paraId="5E3BCD56" w14:textId="0BA43884" w:rsidR="00DD02F8" w:rsidRPr="00DD02F8" w:rsidRDefault="00DD02F8" w:rsidP="00DD02F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  70% of our CEO’s annual cash incentive was tied to achieving pre-established financial metric targets (50% for our other Named Executives)</w:t>
      </w:r>
    </w:p>
    <w:p w14:paraId="414D6266" w14:textId="374142AC" w:rsidR="00DD02F8" w:rsidRDefault="00DD02F8" w:rsidP="00DD02F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  Metrics under our performance stock awards are strategic measures that drive long-term growth</w:t>
      </w:r>
    </w:p>
    <w:p w14:paraId="18013ED6" w14:textId="02D45ABB" w:rsidR="00DD02F8" w:rsidRDefault="00DD02F8" w:rsidP="00DD02F8">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  Our performance stock awards include a relative total shareholder return modifier to reward significant positive outperformance and reduce rewards for underperformance, thereby strengthening the alignment of the interests of our executive officers with the interests of our long-term shareholders</w:t>
      </w:r>
    </w:p>
    <w:p w14:paraId="61AFBD84" w14:textId="77777777" w:rsidR="00D246A9" w:rsidRDefault="00D246A9">
      <w:pPr>
        <w:pStyle w:val="NormalWeb"/>
        <w:keepNext/>
        <w:spacing w:before="0" w:beforeAutospacing="0" w:after="0" w:afterAutospacing="0"/>
        <w:rPr>
          <w:sz w:val="18"/>
          <w:szCs w:val="18"/>
        </w:rPr>
      </w:pPr>
      <w:r>
        <w:rPr>
          <w:sz w:val="18"/>
          <w:szCs w:val="18"/>
        </w:rPr>
        <w:t> </w:t>
      </w:r>
    </w:p>
    <w:p w14:paraId="4DAACC15" w14:textId="77777777" w:rsidR="00D246A9" w:rsidRPr="00306F7C" w:rsidRDefault="00D246A9">
      <w:pPr>
        <w:pStyle w:val="NormalWeb"/>
        <w:spacing w:before="180" w:beforeAutospacing="0" w:after="0" w:afterAutospacing="0"/>
        <w:rPr>
          <w:sz w:val="2"/>
          <w:szCs w:val="2"/>
        </w:rPr>
      </w:pPr>
      <w:r>
        <w:rPr>
          <w:sz w:val="2"/>
          <w:szCs w:val="2"/>
        </w:rPr>
        <w:t> </w:t>
      </w:r>
    </w:p>
    <w:p w14:paraId="2C642D61" w14:textId="77777777" w:rsidR="00D246A9" w:rsidRDefault="00D246A9">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Sound Program Design </w:t>
      </w:r>
    </w:p>
    <w:p w14:paraId="1A2D9D5C"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We design our executive compensation program to attract, motivate, and retain the key executives who drive our success and industry leadership. Pay that reflects performance and alignment of that pay with the interests of long-term shareholders are key principles that </w:t>
      </w:r>
      <w:proofErr w:type="gramStart"/>
      <w:r>
        <w:rPr>
          <w:rFonts w:ascii="Arial" w:hAnsi="Arial" w:cs="Arial"/>
          <w:sz w:val="18"/>
          <w:szCs w:val="18"/>
        </w:rPr>
        <w:t>underlie</w:t>
      </w:r>
      <w:proofErr w:type="gramEnd"/>
      <w:r>
        <w:rPr>
          <w:rFonts w:ascii="Arial" w:hAnsi="Arial" w:cs="Arial"/>
          <w:sz w:val="18"/>
          <w:szCs w:val="18"/>
        </w:rPr>
        <w:t xml:space="preserve"> our compensation program. We achieve these objectives through compensation that: </w:t>
      </w:r>
    </w:p>
    <w:p w14:paraId="62FA91F6"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600" w:firstRow="0" w:lastRow="0" w:firstColumn="0" w:lastColumn="0" w:noHBand="1" w:noVBand="1"/>
      </w:tblPr>
      <w:tblGrid>
        <w:gridCol w:w="5400"/>
        <w:gridCol w:w="5400"/>
      </w:tblGrid>
      <w:tr w:rsidR="00D246A9" w14:paraId="53DF0316" w14:textId="77777777" w:rsidTr="00D4284B">
        <w:trPr>
          <w:cantSplit/>
          <w:jc w:val="center"/>
        </w:trPr>
        <w:tc>
          <w:tcPr>
            <w:tcW w:w="5400" w:type="dxa"/>
            <w:hideMark/>
          </w:tcPr>
          <w:p w14:paraId="25A29BE2" w14:textId="77777777" w:rsidR="00D246A9" w:rsidRPr="00306F7C"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  Provides a competitive total target pay opportunity</w:t>
            </w:r>
          </w:p>
          <w:p w14:paraId="6A42E6DE"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39FD49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  Consists primarily of equity compensation, which encourages our executives to act as owners with a significant stake in Microsoft</w:t>
            </w:r>
          </w:p>
          <w:p w14:paraId="45AAE3E5"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7F58F86" w14:textId="4E02D347" w:rsidR="00D4284B" w:rsidRDefault="00D246A9" w:rsidP="00D4284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  Delivers a majority of pay based on performance</w:t>
            </w:r>
          </w:p>
        </w:tc>
        <w:tc>
          <w:tcPr>
            <w:tcW w:w="5400" w:type="dxa"/>
            <w:hideMark/>
          </w:tcPr>
          <w:p w14:paraId="328FDE86"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  Enhances long-term focus through multi-year performance requirements or vesting for stock-based compensation.</w:t>
            </w:r>
          </w:p>
          <w:p w14:paraId="54588229"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628643AC"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  Does not encourage unnecessary and excessive risk taking</w:t>
            </w:r>
          </w:p>
        </w:tc>
      </w:tr>
    </w:tbl>
    <w:p w14:paraId="2D864885" w14:textId="77777777" w:rsidR="00D246A9" w:rsidRPr="00306F7C" w:rsidRDefault="00D246A9" w:rsidP="00127B7A">
      <w:pPr>
        <w:pStyle w:val="NormalWeb"/>
        <w:keepNext/>
        <w:pageBreakBefore/>
        <w:spacing w:before="240" w:beforeAutospacing="0" w:after="0" w:afterAutospacing="0"/>
        <w:rPr>
          <w:rFonts w:ascii="Arial" w:hAnsi="Arial" w:cs="Arial"/>
          <w:sz w:val="20"/>
          <w:szCs w:val="20"/>
        </w:rPr>
      </w:pPr>
      <w:r>
        <w:rPr>
          <w:rFonts w:ascii="Arial" w:hAnsi="Arial" w:cs="Arial"/>
          <w:b/>
          <w:bCs/>
          <w:color w:val="0075C9"/>
          <w:sz w:val="20"/>
          <w:szCs w:val="20"/>
        </w:rPr>
        <w:lastRenderedPageBreak/>
        <w:t xml:space="preserve">Best Practices in Executive Compensation </w:t>
      </w:r>
    </w:p>
    <w:p w14:paraId="1398F4E1"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executive compensation program follows best practices. </w:t>
      </w:r>
    </w:p>
    <w:p w14:paraId="6DF7180E" w14:textId="77777777" w:rsidR="00D246A9" w:rsidRDefault="00D246A9">
      <w:pPr>
        <w:pStyle w:val="NormalWeb"/>
        <w:keepNext/>
        <w:spacing w:before="0" w:beforeAutospacing="0" w:after="0" w:afterAutospacing="0"/>
        <w:rPr>
          <w:sz w:val="12"/>
          <w:szCs w:val="12"/>
        </w:rPr>
      </w:pPr>
      <w:r>
        <w:rPr>
          <w:sz w:val="12"/>
          <w:szCs w:val="12"/>
        </w:rPr>
        <w:t> </w:t>
      </w:r>
    </w:p>
    <w:tbl>
      <w:tblPr>
        <w:tblW w:w="0" w:type="auto"/>
        <w:tblLayout w:type="fixed"/>
        <w:tblCellMar>
          <w:left w:w="0" w:type="dxa"/>
          <w:right w:w="0" w:type="dxa"/>
        </w:tblCellMar>
        <w:tblLook w:val="0600" w:firstRow="0" w:lastRow="0" w:firstColumn="0" w:lastColumn="0" w:noHBand="1" w:noVBand="1"/>
      </w:tblPr>
      <w:tblGrid>
        <w:gridCol w:w="5076"/>
        <w:gridCol w:w="5076"/>
      </w:tblGrid>
      <w:tr w:rsidR="006E44D9" w14:paraId="0C4FFED2" w14:textId="77777777" w:rsidTr="00900186">
        <w:trPr>
          <w:cantSplit/>
        </w:trPr>
        <w:tc>
          <w:tcPr>
            <w:tcW w:w="5076" w:type="dxa"/>
            <w:vAlign w:val="bottom"/>
            <w:hideMark/>
          </w:tcPr>
          <w:p w14:paraId="20A01AD9" w14:textId="11D26D9B" w:rsidR="006E44D9" w:rsidRPr="007D7093" w:rsidRDefault="006E44D9">
            <w:pPr>
              <w:pStyle w:val="NormalWeb"/>
              <w:spacing w:before="0" w:beforeAutospacing="0" w:after="0" w:afterAutospacing="0"/>
              <w:rPr>
                <w:rFonts w:ascii="Arial" w:hAnsi="Arial" w:cs="Arial"/>
                <w:sz w:val="6"/>
                <w:szCs w:val="6"/>
              </w:rPr>
            </w:pPr>
            <w:r>
              <w:rPr>
                <w:rFonts w:ascii="Arial" w:hAnsi="Arial" w:cs="Arial"/>
                <w:b/>
                <w:bCs/>
                <w:color w:val="0075C9"/>
                <w:sz w:val="18"/>
                <w:szCs w:val="18"/>
              </w:rPr>
              <w:t>What We Do</w:t>
            </w:r>
          </w:p>
          <w:p w14:paraId="3932AA29" w14:textId="77777777" w:rsidR="006E44D9" w:rsidRDefault="006E44D9">
            <w:pPr>
              <w:pStyle w:val="NormalWeb"/>
              <w:spacing w:before="0" w:beforeAutospacing="0" w:after="0" w:afterAutospacing="0"/>
              <w:rPr>
                <w:rFonts w:ascii="Arial" w:hAnsi="Arial" w:cs="Arial"/>
                <w:sz w:val="12"/>
                <w:szCs w:val="12"/>
              </w:rPr>
            </w:pPr>
            <w:r>
              <w:rPr>
                <w:rFonts w:ascii="Arial" w:hAnsi="Arial" w:cs="Arial"/>
                <w:sz w:val="12"/>
                <w:szCs w:val="12"/>
              </w:rPr>
              <w:t> </w:t>
            </w:r>
          </w:p>
          <w:p w14:paraId="67B6AAA1" w14:textId="77777777" w:rsidR="006E44D9" w:rsidRDefault="006E44D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Maintain a stock ownership policy that reinforces the alignment of executive officer and shareholder interests (including stock ownership of 15x base salary for the CEO)</w:t>
            </w:r>
          </w:p>
          <w:p w14:paraId="65BCC41E" w14:textId="77777777" w:rsidR="006E44D9" w:rsidRDefault="006E44D9">
            <w:pPr>
              <w:pStyle w:val="NormalWeb"/>
              <w:spacing w:before="0" w:beforeAutospacing="0" w:after="0" w:afterAutospacing="0"/>
              <w:rPr>
                <w:rFonts w:ascii="Arial" w:hAnsi="Arial" w:cs="Arial"/>
                <w:sz w:val="12"/>
                <w:szCs w:val="12"/>
              </w:rPr>
            </w:pPr>
            <w:r>
              <w:rPr>
                <w:rFonts w:ascii="Arial" w:hAnsi="Arial" w:cs="Arial"/>
                <w:sz w:val="12"/>
                <w:szCs w:val="12"/>
              </w:rPr>
              <w:t> </w:t>
            </w:r>
          </w:p>
          <w:p w14:paraId="15BCA6BE" w14:textId="77777777" w:rsidR="006E44D9" w:rsidRDefault="006E44D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Have a strong executive compensation recovery (“clawback”) policy to ensure accountability</w:t>
            </w:r>
          </w:p>
          <w:p w14:paraId="01557376" w14:textId="77777777" w:rsidR="006E44D9" w:rsidRDefault="006E44D9">
            <w:pPr>
              <w:pStyle w:val="NormalWeb"/>
              <w:spacing w:before="0" w:beforeAutospacing="0" w:after="0" w:afterAutospacing="0"/>
              <w:rPr>
                <w:rFonts w:ascii="Arial" w:hAnsi="Arial" w:cs="Arial"/>
                <w:sz w:val="12"/>
                <w:szCs w:val="12"/>
              </w:rPr>
            </w:pPr>
            <w:r>
              <w:rPr>
                <w:rFonts w:ascii="Arial" w:hAnsi="Arial" w:cs="Arial"/>
                <w:sz w:val="12"/>
                <w:szCs w:val="12"/>
              </w:rPr>
              <w:t> </w:t>
            </w:r>
          </w:p>
          <w:p w14:paraId="463B1E54" w14:textId="77777777" w:rsidR="006E44D9" w:rsidRDefault="006E44D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Promote long-term focus through multi-year vesting and performance requirements</w:t>
            </w:r>
          </w:p>
          <w:p w14:paraId="650759A7" w14:textId="77777777" w:rsidR="006E44D9" w:rsidRDefault="006E44D9">
            <w:pPr>
              <w:pStyle w:val="NormalWeb"/>
              <w:spacing w:before="0" w:beforeAutospacing="0" w:after="0" w:afterAutospacing="0"/>
              <w:rPr>
                <w:rFonts w:ascii="Arial" w:hAnsi="Arial" w:cs="Arial"/>
                <w:sz w:val="12"/>
                <w:szCs w:val="12"/>
              </w:rPr>
            </w:pPr>
            <w:r>
              <w:rPr>
                <w:rFonts w:ascii="Arial" w:hAnsi="Arial" w:cs="Arial"/>
                <w:sz w:val="12"/>
                <w:szCs w:val="12"/>
              </w:rPr>
              <w:t> </w:t>
            </w:r>
          </w:p>
          <w:p w14:paraId="66073881" w14:textId="77777777" w:rsidR="006E44D9" w:rsidRDefault="006E44D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Prohibit pledging, hedging, and trading in derivatives of Microsoft securities</w:t>
            </w:r>
          </w:p>
          <w:p w14:paraId="3E0F88BA" w14:textId="77777777" w:rsidR="006E44D9" w:rsidRDefault="006E44D9">
            <w:pPr>
              <w:pStyle w:val="NormalWeb"/>
              <w:spacing w:before="0" w:beforeAutospacing="0" w:after="0" w:afterAutospacing="0"/>
              <w:rPr>
                <w:rFonts w:ascii="Arial" w:hAnsi="Arial" w:cs="Arial"/>
                <w:sz w:val="12"/>
                <w:szCs w:val="12"/>
              </w:rPr>
            </w:pPr>
            <w:r>
              <w:rPr>
                <w:rFonts w:ascii="Arial" w:hAnsi="Arial" w:cs="Arial"/>
                <w:sz w:val="12"/>
                <w:szCs w:val="12"/>
              </w:rPr>
              <w:t> </w:t>
            </w:r>
          </w:p>
          <w:p w14:paraId="74FD1591" w14:textId="77777777" w:rsidR="006E44D9" w:rsidRDefault="006E44D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Retain an independent compensation consultant</w:t>
            </w:r>
          </w:p>
          <w:p w14:paraId="2C315F40" w14:textId="77777777" w:rsidR="006E44D9" w:rsidRDefault="006E44D9">
            <w:pPr>
              <w:pStyle w:val="NormalWeb"/>
              <w:spacing w:before="0" w:beforeAutospacing="0" w:after="0" w:afterAutospacing="0"/>
              <w:rPr>
                <w:rFonts w:ascii="Arial" w:hAnsi="Arial" w:cs="Arial"/>
                <w:sz w:val="12"/>
                <w:szCs w:val="12"/>
              </w:rPr>
            </w:pPr>
            <w:r>
              <w:rPr>
                <w:rFonts w:ascii="Arial" w:hAnsi="Arial" w:cs="Arial"/>
                <w:sz w:val="12"/>
                <w:szCs w:val="12"/>
              </w:rPr>
              <w:t> </w:t>
            </w:r>
          </w:p>
          <w:p w14:paraId="7D1FF296" w14:textId="77777777" w:rsidR="006E44D9" w:rsidRDefault="006E44D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Solicit investor feedback on our compensation program and potential enhancements through an extensive shareholder engagement program</w:t>
            </w:r>
          </w:p>
          <w:p w14:paraId="4DAA6A9D" w14:textId="77777777" w:rsidR="006E44D9" w:rsidRDefault="006E44D9">
            <w:pPr>
              <w:pStyle w:val="NormalWeb"/>
              <w:spacing w:before="0" w:beforeAutospacing="0" w:after="0" w:afterAutospacing="0"/>
              <w:rPr>
                <w:rFonts w:ascii="Arial" w:hAnsi="Arial" w:cs="Arial"/>
                <w:sz w:val="12"/>
                <w:szCs w:val="12"/>
              </w:rPr>
            </w:pPr>
            <w:r>
              <w:rPr>
                <w:rFonts w:ascii="Arial" w:hAnsi="Arial" w:cs="Arial"/>
                <w:sz w:val="12"/>
                <w:szCs w:val="12"/>
              </w:rPr>
              <w:t> </w:t>
            </w:r>
          </w:p>
          <w:p w14:paraId="1DC8E845" w14:textId="77777777" w:rsidR="006E44D9" w:rsidRDefault="006E44D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Annual assessment of compensation-related risks</w:t>
            </w:r>
          </w:p>
          <w:p w14:paraId="3F8373BC" w14:textId="77777777" w:rsidR="006E44D9" w:rsidRDefault="006E44D9">
            <w:pPr>
              <w:pStyle w:val="NormalWeb"/>
              <w:spacing w:before="0" w:beforeAutospacing="0" w:after="0" w:afterAutospacing="0"/>
              <w:rPr>
                <w:rFonts w:ascii="Arial" w:hAnsi="Arial" w:cs="Arial"/>
                <w:sz w:val="12"/>
                <w:szCs w:val="12"/>
              </w:rPr>
            </w:pPr>
            <w:r>
              <w:rPr>
                <w:rFonts w:ascii="Arial" w:hAnsi="Arial" w:cs="Arial"/>
                <w:sz w:val="12"/>
                <w:szCs w:val="12"/>
              </w:rPr>
              <w:t> </w:t>
            </w:r>
          </w:p>
          <w:p w14:paraId="30FBD6E1" w14:textId="77777777" w:rsidR="006E44D9" w:rsidRDefault="006E44D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Settle all long-term incentives in Microsoft stock</w:t>
            </w:r>
          </w:p>
          <w:p w14:paraId="486F3893" w14:textId="77777777" w:rsidR="006E44D9" w:rsidRDefault="006E44D9">
            <w:pPr>
              <w:pStyle w:val="NormalWeb"/>
              <w:spacing w:before="0" w:beforeAutospacing="0" w:after="20" w:afterAutospacing="0"/>
              <w:rPr>
                <w:rFonts w:ascii="Arial" w:hAnsi="Arial" w:cs="Arial"/>
              </w:rPr>
            </w:pPr>
            <w:r>
              <w:rPr>
                <w:rFonts w:ascii="Arial" w:hAnsi="Arial" w:cs="Arial"/>
              </w:rPr>
              <w:t> </w:t>
            </w:r>
          </w:p>
        </w:tc>
        <w:tc>
          <w:tcPr>
            <w:tcW w:w="5076" w:type="dxa"/>
            <w:hideMark/>
          </w:tcPr>
          <w:p w14:paraId="63F43EAF" w14:textId="75F6C702" w:rsidR="006E44D9" w:rsidRPr="007D7093" w:rsidRDefault="006E44D9" w:rsidP="007D7093">
            <w:pPr>
              <w:pStyle w:val="NormalWeb"/>
              <w:spacing w:before="0" w:beforeAutospacing="0" w:after="0" w:afterAutospacing="0"/>
              <w:ind w:left="319"/>
              <w:rPr>
                <w:rFonts w:ascii="Arial" w:hAnsi="Arial" w:cs="Arial"/>
                <w:sz w:val="6"/>
                <w:szCs w:val="6"/>
              </w:rPr>
            </w:pPr>
            <w:r>
              <w:rPr>
                <w:rFonts w:ascii="Arial" w:hAnsi="Arial" w:cs="Arial"/>
                <w:b/>
                <w:bCs/>
                <w:color w:val="0075C9"/>
                <w:sz w:val="18"/>
                <w:szCs w:val="18"/>
              </w:rPr>
              <w:t>What We Don’t Do</w:t>
            </w:r>
          </w:p>
          <w:p w14:paraId="2C15AFE5" w14:textId="77777777" w:rsidR="006E44D9" w:rsidRDefault="006E44D9" w:rsidP="006E44D9">
            <w:pPr>
              <w:pStyle w:val="NormalWeb"/>
              <w:spacing w:before="0" w:beforeAutospacing="0" w:after="0" w:afterAutospacing="0"/>
              <w:ind w:left="576"/>
              <w:rPr>
                <w:rFonts w:ascii="Arial" w:hAnsi="Arial" w:cs="Arial"/>
                <w:sz w:val="12"/>
                <w:szCs w:val="12"/>
              </w:rPr>
            </w:pPr>
            <w:r>
              <w:rPr>
                <w:rFonts w:ascii="Arial" w:hAnsi="Arial" w:cs="Arial"/>
                <w:sz w:val="12"/>
                <w:szCs w:val="12"/>
              </w:rPr>
              <w:t> </w:t>
            </w:r>
          </w:p>
          <w:p w14:paraId="5709A261" w14:textId="77777777" w:rsidR="006E44D9" w:rsidRDefault="006E44D9" w:rsidP="006E44D9">
            <w:pPr>
              <w:pStyle w:val="NormalWeb"/>
              <w:spacing w:before="0" w:beforeAutospacing="0" w:after="0" w:afterAutospacing="0"/>
              <w:ind w:left="576" w:hanging="240"/>
              <w:rPr>
                <w:rFonts w:ascii="Arial" w:hAnsi="Arial" w:cs="Arial"/>
                <w:sz w:val="18"/>
                <w:szCs w:val="18"/>
              </w:rPr>
            </w:pPr>
            <w:r>
              <w:rPr>
                <w:rFonts w:ascii="Arial" w:hAnsi="Arial" w:cs="Arial"/>
                <w:sz w:val="18"/>
                <w:szCs w:val="18"/>
              </w:rPr>
              <w:t>•</w:t>
            </w:r>
            <w:r>
              <w:rPr>
                <w:rFonts w:ascii="Arial" w:hAnsi="Arial" w:cs="Arial"/>
                <w:sz w:val="18"/>
                <w:szCs w:val="18"/>
              </w:rPr>
              <w:tab/>
              <w:t>No excessive perquisites (e.g., no executive-only club memberships, medical benefits), and no tax gross-ups</w:t>
            </w:r>
          </w:p>
          <w:p w14:paraId="27A75A4D" w14:textId="77777777" w:rsidR="006E44D9" w:rsidRDefault="006E44D9" w:rsidP="006E44D9">
            <w:pPr>
              <w:pStyle w:val="NormalWeb"/>
              <w:spacing w:before="0" w:beforeAutospacing="0" w:after="0" w:afterAutospacing="0"/>
              <w:ind w:left="576"/>
              <w:rPr>
                <w:rFonts w:ascii="Arial" w:hAnsi="Arial" w:cs="Arial"/>
                <w:sz w:val="12"/>
                <w:szCs w:val="12"/>
              </w:rPr>
            </w:pPr>
            <w:r>
              <w:rPr>
                <w:rFonts w:ascii="Arial" w:hAnsi="Arial" w:cs="Arial"/>
                <w:sz w:val="12"/>
                <w:szCs w:val="12"/>
              </w:rPr>
              <w:t> </w:t>
            </w:r>
          </w:p>
          <w:p w14:paraId="5A400780" w14:textId="77777777" w:rsidR="006E44D9" w:rsidRDefault="006E44D9" w:rsidP="006E44D9">
            <w:pPr>
              <w:pStyle w:val="NormalWeb"/>
              <w:spacing w:before="0" w:beforeAutospacing="0" w:after="0" w:afterAutospacing="0"/>
              <w:ind w:left="576" w:hanging="240"/>
              <w:rPr>
                <w:rFonts w:ascii="Arial" w:hAnsi="Arial" w:cs="Arial"/>
                <w:sz w:val="18"/>
                <w:szCs w:val="18"/>
              </w:rPr>
            </w:pPr>
            <w:r>
              <w:rPr>
                <w:rFonts w:ascii="Arial" w:hAnsi="Arial" w:cs="Arial"/>
                <w:sz w:val="18"/>
                <w:szCs w:val="18"/>
              </w:rPr>
              <w:t>•</w:t>
            </w:r>
            <w:r>
              <w:rPr>
                <w:rFonts w:ascii="Arial" w:hAnsi="Arial" w:cs="Arial"/>
                <w:sz w:val="18"/>
                <w:szCs w:val="18"/>
              </w:rPr>
              <w:tab/>
              <w:t>No employment agreements</w:t>
            </w:r>
          </w:p>
          <w:p w14:paraId="656C96EF" w14:textId="77777777" w:rsidR="006E44D9" w:rsidRDefault="006E44D9" w:rsidP="006E44D9">
            <w:pPr>
              <w:pStyle w:val="NormalWeb"/>
              <w:spacing w:before="0" w:beforeAutospacing="0" w:after="0" w:afterAutospacing="0"/>
              <w:ind w:left="576"/>
              <w:rPr>
                <w:rFonts w:ascii="Arial" w:hAnsi="Arial" w:cs="Arial"/>
                <w:sz w:val="12"/>
                <w:szCs w:val="12"/>
              </w:rPr>
            </w:pPr>
            <w:r>
              <w:rPr>
                <w:rFonts w:ascii="Arial" w:hAnsi="Arial" w:cs="Arial"/>
                <w:sz w:val="12"/>
                <w:szCs w:val="12"/>
              </w:rPr>
              <w:t> </w:t>
            </w:r>
          </w:p>
          <w:p w14:paraId="11E73C13" w14:textId="77777777" w:rsidR="006E44D9" w:rsidRDefault="006E44D9" w:rsidP="006E44D9">
            <w:pPr>
              <w:pStyle w:val="NormalWeb"/>
              <w:spacing w:before="0" w:beforeAutospacing="0" w:after="0" w:afterAutospacing="0"/>
              <w:ind w:left="576" w:hanging="240"/>
              <w:rPr>
                <w:rFonts w:ascii="Arial" w:hAnsi="Arial" w:cs="Arial"/>
                <w:sz w:val="18"/>
                <w:szCs w:val="18"/>
              </w:rPr>
            </w:pPr>
            <w:r>
              <w:rPr>
                <w:rFonts w:ascii="Arial" w:hAnsi="Arial" w:cs="Arial"/>
                <w:sz w:val="18"/>
                <w:szCs w:val="18"/>
              </w:rPr>
              <w:t>•</w:t>
            </w:r>
            <w:r>
              <w:rPr>
                <w:rFonts w:ascii="Arial" w:hAnsi="Arial" w:cs="Arial"/>
                <w:sz w:val="18"/>
                <w:szCs w:val="18"/>
              </w:rPr>
              <w:tab/>
              <w:t>No change in control payments or benefits</w:t>
            </w:r>
          </w:p>
          <w:p w14:paraId="6EF851EF" w14:textId="77777777" w:rsidR="006E44D9" w:rsidRDefault="006E44D9" w:rsidP="006E44D9">
            <w:pPr>
              <w:pStyle w:val="NormalWeb"/>
              <w:spacing w:before="0" w:beforeAutospacing="0" w:after="0" w:afterAutospacing="0"/>
              <w:ind w:left="576"/>
              <w:rPr>
                <w:rFonts w:ascii="Arial" w:hAnsi="Arial" w:cs="Arial"/>
                <w:sz w:val="12"/>
                <w:szCs w:val="12"/>
              </w:rPr>
            </w:pPr>
            <w:r>
              <w:rPr>
                <w:rFonts w:ascii="Arial" w:hAnsi="Arial" w:cs="Arial"/>
                <w:sz w:val="12"/>
                <w:szCs w:val="12"/>
              </w:rPr>
              <w:t> </w:t>
            </w:r>
          </w:p>
          <w:p w14:paraId="476C1E08" w14:textId="77777777" w:rsidR="006E44D9" w:rsidRDefault="006E44D9" w:rsidP="006E44D9">
            <w:pPr>
              <w:pStyle w:val="NormalWeb"/>
              <w:spacing w:before="0" w:beforeAutospacing="0" w:after="0" w:afterAutospacing="0"/>
              <w:ind w:left="576" w:hanging="240"/>
              <w:rPr>
                <w:rFonts w:ascii="Arial" w:hAnsi="Arial" w:cs="Arial"/>
                <w:sz w:val="18"/>
                <w:szCs w:val="18"/>
              </w:rPr>
            </w:pPr>
            <w:r>
              <w:rPr>
                <w:rFonts w:ascii="Arial" w:hAnsi="Arial" w:cs="Arial"/>
                <w:sz w:val="18"/>
                <w:szCs w:val="18"/>
              </w:rPr>
              <w:t>•</w:t>
            </w:r>
            <w:r>
              <w:rPr>
                <w:rFonts w:ascii="Arial" w:hAnsi="Arial" w:cs="Arial"/>
                <w:sz w:val="18"/>
                <w:szCs w:val="18"/>
              </w:rPr>
              <w:tab/>
              <w:t>No executive-only retirement programs</w:t>
            </w:r>
          </w:p>
          <w:p w14:paraId="19C8FB71" w14:textId="77777777" w:rsidR="006E44D9" w:rsidRDefault="006E44D9" w:rsidP="006E44D9">
            <w:pPr>
              <w:pStyle w:val="NormalWeb"/>
              <w:spacing w:before="0" w:beforeAutospacing="0" w:after="0" w:afterAutospacing="0"/>
              <w:ind w:left="576"/>
              <w:rPr>
                <w:rFonts w:ascii="Arial" w:hAnsi="Arial" w:cs="Arial"/>
                <w:sz w:val="12"/>
                <w:szCs w:val="12"/>
              </w:rPr>
            </w:pPr>
            <w:r>
              <w:rPr>
                <w:rFonts w:ascii="Arial" w:hAnsi="Arial" w:cs="Arial"/>
                <w:sz w:val="12"/>
                <w:szCs w:val="12"/>
              </w:rPr>
              <w:t> </w:t>
            </w:r>
          </w:p>
          <w:p w14:paraId="4E62CC0E" w14:textId="77777777" w:rsidR="006E44D9" w:rsidRDefault="006E44D9" w:rsidP="006E44D9">
            <w:pPr>
              <w:pStyle w:val="NormalWeb"/>
              <w:spacing w:before="0" w:beforeAutospacing="0" w:after="0" w:afterAutospacing="0"/>
              <w:ind w:left="576" w:hanging="240"/>
              <w:rPr>
                <w:rFonts w:ascii="Arial" w:hAnsi="Arial" w:cs="Arial"/>
                <w:sz w:val="18"/>
                <w:szCs w:val="18"/>
              </w:rPr>
            </w:pPr>
            <w:r>
              <w:rPr>
                <w:rFonts w:ascii="Arial" w:hAnsi="Arial" w:cs="Arial"/>
                <w:sz w:val="18"/>
                <w:szCs w:val="18"/>
              </w:rPr>
              <w:t>•</w:t>
            </w:r>
            <w:r>
              <w:rPr>
                <w:rFonts w:ascii="Arial" w:hAnsi="Arial" w:cs="Arial"/>
                <w:sz w:val="18"/>
                <w:szCs w:val="18"/>
              </w:rPr>
              <w:tab/>
              <w:t>No guaranteed bonuses</w:t>
            </w:r>
          </w:p>
          <w:p w14:paraId="3F3B2328" w14:textId="77777777" w:rsidR="006E44D9" w:rsidRDefault="006E44D9" w:rsidP="006E44D9">
            <w:pPr>
              <w:pStyle w:val="NormalWeb"/>
              <w:spacing w:before="0" w:beforeAutospacing="0" w:after="0" w:afterAutospacing="0"/>
              <w:ind w:left="576"/>
              <w:rPr>
                <w:rFonts w:ascii="Arial" w:hAnsi="Arial" w:cs="Arial"/>
                <w:sz w:val="12"/>
                <w:szCs w:val="12"/>
              </w:rPr>
            </w:pPr>
            <w:r>
              <w:rPr>
                <w:rFonts w:ascii="Arial" w:hAnsi="Arial" w:cs="Arial"/>
                <w:sz w:val="12"/>
                <w:szCs w:val="12"/>
              </w:rPr>
              <w:t> </w:t>
            </w:r>
          </w:p>
          <w:p w14:paraId="5AC088DA" w14:textId="77777777" w:rsidR="006E44D9" w:rsidRDefault="006E44D9" w:rsidP="006E44D9">
            <w:pPr>
              <w:pStyle w:val="NormalWeb"/>
              <w:spacing w:before="0" w:beforeAutospacing="0" w:after="0" w:afterAutospacing="0"/>
              <w:ind w:left="576" w:hanging="240"/>
              <w:rPr>
                <w:rFonts w:ascii="Arial" w:hAnsi="Arial" w:cs="Arial"/>
                <w:sz w:val="18"/>
                <w:szCs w:val="18"/>
              </w:rPr>
            </w:pPr>
            <w:r>
              <w:rPr>
                <w:rFonts w:ascii="Arial" w:hAnsi="Arial" w:cs="Arial"/>
                <w:sz w:val="18"/>
                <w:szCs w:val="18"/>
              </w:rPr>
              <w:t>•</w:t>
            </w:r>
            <w:r>
              <w:rPr>
                <w:rFonts w:ascii="Arial" w:hAnsi="Arial" w:cs="Arial"/>
                <w:sz w:val="18"/>
                <w:szCs w:val="18"/>
              </w:rPr>
              <w:tab/>
              <w:t>No dividends paid on unvested stock awards</w:t>
            </w:r>
          </w:p>
          <w:p w14:paraId="274EEC70" w14:textId="77777777" w:rsidR="006E44D9" w:rsidRDefault="006E44D9" w:rsidP="006E44D9">
            <w:pPr>
              <w:pStyle w:val="NormalWeb"/>
              <w:spacing w:before="0" w:beforeAutospacing="0" w:after="0" w:afterAutospacing="0"/>
              <w:ind w:left="576"/>
              <w:rPr>
                <w:rFonts w:ascii="Arial" w:hAnsi="Arial" w:cs="Arial"/>
                <w:sz w:val="12"/>
                <w:szCs w:val="12"/>
              </w:rPr>
            </w:pPr>
            <w:r>
              <w:rPr>
                <w:rFonts w:ascii="Arial" w:hAnsi="Arial" w:cs="Arial"/>
                <w:sz w:val="12"/>
                <w:szCs w:val="12"/>
              </w:rPr>
              <w:t> </w:t>
            </w:r>
          </w:p>
          <w:p w14:paraId="19D144FB" w14:textId="77777777" w:rsidR="006E44D9" w:rsidRDefault="006E44D9" w:rsidP="006E44D9">
            <w:pPr>
              <w:pStyle w:val="NormalWeb"/>
              <w:spacing w:before="0" w:beforeAutospacing="0" w:after="20" w:afterAutospacing="0"/>
              <w:ind w:left="576" w:hanging="240"/>
              <w:rPr>
                <w:rFonts w:ascii="Arial" w:hAnsi="Arial" w:cs="Arial"/>
                <w:sz w:val="18"/>
                <w:szCs w:val="18"/>
              </w:rPr>
            </w:pPr>
            <w:r>
              <w:rPr>
                <w:rFonts w:ascii="Arial" w:hAnsi="Arial" w:cs="Arial"/>
                <w:sz w:val="18"/>
                <w:szCs w:val="18"/>
              </w:rPr>
              <w:t>•</w:t>
            </w:r>
            <w:r>
              <w:rPr>
                <w:rFonts w:ascii="Arial" w:hAnsi="Arial" w:cs="Arial"/>
                <w:sz w:val="18"/>
                <w:szCs w:val="18"/>
              </w:rPr>
              <w:tab/>
              <w:t>No encouragement of unnecessary and excessive risk taking</w:t>
            </w:r>
          </w:p>
        </w:tc>
      </w:tr>
    </w:tbl>
    <w:p w14:paraId="73EF6327" w14:textId="77777777"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and Compensation Committee reviewed the prior year’s voting results and, through our regular shareholder engagement, sought to understand the factors that influenced voting decisions. In evaluating our compensation practices in fiscal year 2023, our Compensation Committee was mindful of the support our shareholders expressed for our philosophy and practice of linking executive compensation to operational objectives and shareholder value creation and did not make any substantial changes to our executive compensation program. </w:t>
      </w:r>
    </w:p>
    <w:p w14:paraId="41BBB71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and the Compensation Committee will continue to consider feedback obtained through our shareholder engagement process in making future decisions about our executive compensation program. </w:t>
      </w:r>
    </w:p>
    <w:p w14:paraId="596BEB29" w14:textId="77777777" w:rsidR="00D246A9" w:rsidRDefault="00D246A9">
      <w:pPr>
        <w:pStyle w:val="NormalWeb"/>
        <w:spacing w:before="180" w:beforeAutospacing="0" w:after="0" w:afterAutospacing="0"/>
        <w:rPr>
          <w:sz w:val="2"/>
          <w:szCs w:val="2"/>
        </w:rPr>
      </w:pPr>
      <w:r>
        <w:rPr>
          <w:sz w:val="2"/>
          <w:szCs w:val="2"/>
        </w:rPr>
        <w:t> </w:t>
      </w:r>
    </w:p>
    <w:p w14:paraId="1C295CC3" w14:textId="77777777" w:rsidR="00D246A9" w:rsidRDefault="00D246A9">
      <w:pPr>
        <w:pStyle w:val="NormalWeb"/>
        <w:spacing w:before="0" w:beforeAutospacing="0" w:after="0" w:afterAutospacing="0"/>
        <w:rPr>
          <w:rFonts w:ascii="Arial" w:hAnsi="Arial" w:cs="Arial"/>
        </w:rPr>
      </w:pPr>
      <w:bookmarkStart w:id="32" w:name="toc356108_33"/>
      <w:bookmarkEnd w:id="32"/>
      <w:r>
        <w:rPr>
          <w:rFonts w:ascii="Arial" w:hAnsi="Arial" w:cs="Arial"/>
          <w:b/>
          <w:bCs/>
        </w:rPr>
        <w:t xml:space="preserve">Proposal 3: Advisory Vote on Frequency of Advisory Vote on Executive Compensation </w:t>
      </w:r>
    </w:p>
    <w:p w14:paraId="79D868A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As </w:t>
      </w:r>
      <w:proofErr w:type="gramStart"/>
      <w:r>
        <w:rPr>
          <w:rFonts w:ascii="Arial" w:hAnsi="Arial" w:cs="Arial"/>
          <w:sz w:val="18"/>
          <w:szCs w:val="18"/>
        </w:rPr>
        <w:t>required</w:t>
      </w:r>
      <w:proofErr w:type="gramEnd"/>
      <w:r>
        <w:rPr>
          <w:rFonts w:ascii="Arial" w:hAnsi="Arial" w:cs="Arial"/>
          <w:sz w:val="18"/>
          <w:szCs w:val="18"/>
        </w:rPr>
        <w:t xml:space="preserve"> by Section 14A of the Securities Exchange Act of 1934, we are seeking your advisory vote on how often we should hold a say-on-pay vote. You may specify whether you prefer the vote to occur every year, two years, or three years, or may abstain from voting on this proposal. We expect to hold another advisory vote on the frequency of the say-on-pay vote at our 2029 annual meeting of shareholders. </w:t>
      </w:r>
    </w:p>
    <w:p w14:paraId="7E3390E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The option of every year, two years, or three years that receives the highest number of votes cast by shareholders will be the frequency for the advisory vote on executive compensation that has been selected by shareholders. Although this vote is not binding, the Board will consider the voting results in setting the frequency of future say-on-pay votes.</w:t>
      </w:r>
    </w:p>
    <w:p w14:paraId="1B4ADDA3"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i/>
          <w:iCs/>
          <w:color w:val="0075C9"/>
          <w:sz w:val="20"/>
          <w:szCs w:val="20"/>
        </w:rPr>
        <w:t xml:space="preserve">Our Board of Directors recommends that future say-on-pay votes occur every year. </w:t>
      </w:r>
    </w:p>
    <w:p w14:paraId="2225897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When shareholders last voted on the frequency of the say-on-pay vote in 2017, the Board recommended an annual vote, which shareholders supported with 90% of votes cast. Our Board continues to believe that a non-binding advisory vote on executive compensation that occurs annually remains the most appropriate alternative for the Company and our shareholders. We believe that an annual vote allows our shareholders the ability to frequently communicate to us regarding their view on our executive compensation program and aligns with our practice of regularly engaging with shareholders to obtain their input on corporate governance and executive compensation matters. </w:t>
      </w:r>
    </w:p>
    <w:p w14:paraId="1517462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Although the vote is non-binding, the Board will consider the vote results in determining the frequency of future say-on-pay votes. The Company will announce its decision on the frequency of say-on-pay votes in a Form 8-K filed with the SEC no later than 150 days after the Annual Meeting. In the future, the Board may change the vote frequency based on the nature of the Company’s compensation programs, input from our shareholders, and the Board’s views on the best way to obtain meaningful shareholder input. </w:t>
      </w:r>
    </w:p>
    <w:p w14:paraId="38EA977D" w14:textId="77777777" w:rsidR="00D246A9" w:rsidRDefault="00D246A9" w:rsidP="00127B7A">
      <w:pPr>
        <w:pStyle w:val="NormalWeb"/>
        <w:pageBreakBefore/>
        <w:spacing w:before="0" w:beforeAutospacing="0" w:after="0" w:afterAutospacing="0"/>
        <w:rPr>
          <w:rFonts w:ascii="Arial" w:hAnsi="Arial" w:cs="Arial"/>
        </w:rPr>
      </w:pPr>
      <w:bookmarkStart w:id="33" w:name="toc356108_34"/>
      <w:bookmarkEnd w:id="33"/>
      <w:r>
        <w:rPr>
          <w:rFonts w:ascii="Arial" w:hAnsi="Arial" w:cs="Arial"/>
          <w:b/>
          <w:bCs/>
        </w:rPr>
        <w:lastRenderedPageBreak/>
        <w:t xml:space="preserve">Proposal 4: Ratification of the Selection of Deloitte &amp; Touche LLP as our Independent Auditor for Fiscal Year 2024 </w:t>
      </w:r>
    </w:p>
    <w:p w14:paraId="1AC26A0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has selected Deloitte &amp; Touche LLP as Microsoft’s independent auditor for fiscal year 2024. The Board asks shareholders to ratify that selection. Although current law, rules, and regulations, and the charter of the Audit Committee require the Audit Committee to engage, retain, and supervise Microsoft’s independent auditor, the Board considers the selection of the independent auditor to be an important matter of shareholder concern and is submitting the selection of Deloitte &amp; Touche for ratification by shareholders as a matter of good corporate practice. As described in Part 3 – Audit Committee Matters, the Board considers the selection of Deloitte &amp; Touche as Microsoft’s independent auditor for fiscal year 2024 to be in the best interests of Microsoft and its shareholders. </w:t>
      </w:r>
    </w:p>
    <w:p w14:paraId="2F6A83A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Receipt of a majority of the votes cast is required to approve this proposal. If the selection of Deloitte &amp; Touche is not ratified, the Audit Committee will consider the result a recommendation to consider selection of a different firm. </w:t>
      </w:r>
    </w:p>
    <w:p w14:paraId="24499A33"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FOR the ratification of the independent auditor. </w:t>
      </w:r>
    </w:p>
    <w:p w14:paraId="36AD6C05" w14:textId="77777777" w:rsidR="00D246A9" w:rsidRDefault="00D246A9">
      <w:pPr>
        <w:pStyle w:val="NormalWeb"/>
        <w:spacing w:before="180" w:beforeAutospacing="0" w:after="0" w:afterAutospacing="0"/>
        <w:rPr>
          <w:sz w:val="2"/>
          <w:szCs w:val="2"/>
        </w:rPr>
      </w:pPr>
      <w:r>
        <w:rPr>
          <w:sz w:val="2"/>
          <w:szCs w:val="2"/>
        </w:rPr>
        <w:t> </w:t>
      </w:r>
    </w:p>
    <w:p w14:paraId="3615DF52" w14:textId="77777777" w:rsidR="00D246A9" w:rsidRDefault="00D246A9">
      <w:pPr>
        <w:pStyle w:val="rrdsinglerule"/>
        <w:pBdr>
          <w:top w:val="single" w:sz="6" w:space="0" w:color="0075C9"/>
        </w:pBdr>
        <w:spacing w:before="0"/>
        <w:rPr>
          <w:sz w:val="24"/>
          <w:szCs w:val="24"/>
        </w:rPr>
      </w:pPr>
      <w:r>
        <w:t> </w:t>
      </w:r>
    </w:p>
    <w:p w14:paraId="00252F06" w14:textId="77777777" w:rsidR="00D246A9" w:rsidRDefault="00D246A9" w:rsidP="00B4165A">
      <w:pPr>
        <w:pStyle w:val="Heading3"/>
      </w:pPr>
      <w:bookmarkStart w:id="34" w:name="toc356108_35"/>
      <w:bookmarkEnd w:id="34"/>
      <w:r>
        <w:t xml:space="preserve">Shareholder Proposals </w:t>
      </w:r>
    </w:p>
    <w:p w14:paraId="2D89B1A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Receipt of a majority of the votes cast is required to approve each of the following shareholder proposals. We will furnish the address and number of shares held by the proponents of any of the following shareholder proposals upon receipt of a request to the Corporate Secretary for such information. </w:t>
      </w:r>
    </w:p>
    <w:p w14:paraId="26EF3734" w14:textId="77777777" w:rsidR="00E617E2" w:rsidRPr="00E617E2" w:rsidRDefault="00D246A9" w:rsidP="007D1AD1">
      <w:pPr>
        <w:spacing w:before="240" w:after="80"/>
        <w:ind w:left="14"/>
        <w:rPr>
          <w:rFonts w:ascii="Arial" w:hAnsi="Arial" w:cs="Arial"/>
          <w:b/>
          <w:bCs/>
          <w:szCs w:val="24"/>
        </w:rPr>
      </w:pPr>
      <w:r>
        <w:rPr>
          <w:sz w:val="2"/>
          <w:szCs w:val="2"/>
        </w:rPr>
        <w:t> </w:t>
      </w:r>
      <w:r w:rsidR="00E617E2" w:rsidRPr="00E617E2">
        <w:rPr>
          <w:rFonts w:ascii="Arial" w:hAnsi="Arial" w:cs="Arial"/>
          <w:b/>
          <w:bCs/>
          <w:szCs w:val="24"/>
        </w:rPr>
        <w:t>Proposal 5: Report on Gender-Based Compensation and Benefit Gaps (Shareholder Proposal)</w:t>
      </w:r>
    </w:p>
    <w:p w14:paraId="42258368" w14:textId="77777777" w:rsidR="00E617E2" w:rsidRPr="00E617E2" w:rsidRDefault="00E617E2" w:rsidP="00E617E2">
      <w:pPr>
        <w:spacing w:after="240"/>
        <w:ind w:left="14"/>
        <w:rPr>
          <w:rFonts w:ascii="Arial" w:hAnsi="Arial" w:cs="Arial"/>
          <w:b/>
          <w:bCs/>
          <w:sz w:val="18"/>
          <w:szCs w:val="18"/>
        </w:rPr>
      </w:pPr>
      <w:r w:rsidRPr="00E617E2">
        <w:rPr>
          <w:rFonts w:ascii="Arial" w:hAnsi="Arial" w:cs="Arial"/>
          <w:sz w:val="18"/>
          <w:szCs w:val="18"/>
        </w:rPr>
        <w:t>National Legal and Policy Center has advised us that they intend to submit the following proposal for consideration at the Annual Meeting.</w:t>
      </w:r>
    </w:p>
    <w:p w14:paraId="342F0B7E" w14:textId="77777777" w:rsidR="00E617E2" w:rsidRPr="00E617E2" w:rsidRDefault="00E617E2" w:rsidP="00E617E2">
      <w:pPr>
        <w:spacing w:after="80"/>
        <w:ind w:left="14"/>
        <w:rPr>
          <w:rFonts w:ascii="Arial" w:hAnsi="Arial" w:cs="Arial"/>
          <w:b/>
          <w:bCs/>
          <w:sz w:val="18"/>
          <w:szCs w:val="18"/>
        </w:rPr>
      </w:pPr>
      <w:r w:rsidRPr="00E617E2">
        <w:rPr>
          <w:rFonts w:ascii="Arial" w:hAnsi="Arial" w:cs="Arial"/>
          <w:b/>
          <w:bCs/>
          <w:sz w:val="18"/>
          <w:szCs w:val="18"/>
        </w:rPr>
        <w:t>Gender-Based Compensation/Benefits Gaps and Associated Risks</w:t>
      </w:r>
    </w:p>
    <w:p w14:paraId="0BD8AB08" w14:textId="77777777" w:rsidR="00E617E2" w:rsidRPr="00E617E2" w:rsidRDefault="00E617E2" w:rsidP="00E617E2">
      <w:pPr>
        <w:spacing w:after="80"/>
        <w:ind w:left="14"/>
        <w:rPr>
          <w:rFonts w:ascii="Arial" w:hAnsi="Arial" w:cs="Arial"/>
          <w:sz w:val="18"/>
          <w:szCs w:val="18"/>
        </w:rPr>
      </w:pPr>
      <w:r w:rsidRPr="00E617E2">
        <w:rPr>
          <w:rFonts w:ascii="Arial" w:hAnsi="Arial" w:cs="Arial"/>
          <w:sz w:val="18"/>
          <w:szCs w:val="18"/>
        </w:rPr>
        <w:t>WHEREAS: Compensation and benefits inequities persist across employee gender categories, and pose substantial risk to companies and society at large.</w:t>
      </w:r>
    </w:p>
    <w:p w14:paraId="1226059C" w14:textId="77777777" w:rsidR="00E617E2" w:rsidRPr="00E617E2" w:rsidRDefault="00E617E2" w:rsidP="00E617E2">
      <w:pPr>
        <w:spacing w:after="80"/>
        <w:ind w:left="-1" w:right="86"/>
        <w:jc w:val="both"/>
        <w:rPr>
          <w:rFonts w:ascii="Arial" w:hAnsi="Arial" w:cs="Arial"/>
          <w:sz w:val="18"/>
          <w:szCs w:val="18"/>
        </w:rPr>
      </w:pPr>
      <w:r w:rsidRPr="00E617E2">
        <w:rPr>
          <w:rFonts w:ascii="Arial" w:hAnsi="Arial" w:cs="Arial"/>
          <w:sz w:val="18"/>
          <w:szCs w:val="18"/>
        </w:rPr>
        <w:t>Women who choose not to abort their pre-born children, and instead decide to raise them, suffer a pay/benefits inequity compared to their company colleagues who do choose to abort their children and who receive reimbursements for expenses such as travel and lodging, when the procedures are done in a different state from where they reside for legal or other reasons.</w:t>
      </w:r>
    </w:p>
    <w:p w14:paraId="57B1F1E2" w14:textId="77777777" w:rsidR="00E617E2" w:rsidRPr="00E617E2" w:rsidRDefault="00E617E2" w:rsidP="00E617E2">
      <w:pPr>
        <w:spacing w:after="80"/>
        <w:ind w:left="14"/>
        <w:rPr>
          <w:rFonts w:ascii="Arial" w:hAnsi="Arial" w:cs="Arial"/>
          <w:sz w:val="18"/>
          <w:szCs w:val="18"/>
        </w:rPr>
      </w:pPr>
      <w:r w:rsidRPr="00E617E2">
        <w:rPr>
          <w:rFonts w:ascii="Arial" w:hAnsi="Arial" w:cs="Arial"/>
          <w:sz w:val="18"/>
          <w:szCs w:val="18"/>
        </w:rPr>
        <w:t>There is significant expense both in aborting and in raising children, yet Microsoft Corporation (the "Company") incentivizes the former with a subsidy and discourages the latter with no subsidy.</w:t>
      </w:r>
      <w:r w:rsidRPr="00E617E2">
        <w:rPr>
          <w:rFonts w:ascii="Arial" w:hAnsi="Arial" w:cs="Arial"/>
          <w:sz w:val="18"/>
          <w:szCs w:val="18"/>
          <w:vertAlign w:val="superscript"/>
        </w:rPr>
        <w:footnoteReference w:id="1"/>
      </w:r>
      <w:r w:rsidRPr="00E617E2">
        <w:rPr>
          <w:rFonts w:ascii="Arial" w:hAnsi="Arial" w:cs="Arial"/>
          <w:sz w:val="18"/>
          <w:szCs w:val="18"/>
          <w:vertAlign w:val="superscript"/>
        </w:rPr>
        <w:t xml:space="preserve"> </w:t>
      </w:r>
      <w:r w:rsidRPr="00E617E2">
        <w:rPr>
          <w:rFonts w:ascii="Arial" w:hAnsi="Arial" w:cs="Arial"/>
          <w:sz w:val="18"/>
          <w:szCs w:val="18"/>
        </w:rPr>
        <w:t>In fact, the latter incurs far greater expense and necessity of time out of the workplace than the former, exacerbating the compensation/benefits gap. Such policies have significant societal, operational, reputational, and competitive risks, and risks related to recruiting and retaining diverse talent.</w:t>
      </w:r>
    </w:p>
    <w:p w14:paraId="60995E7D" w14:textId="77777777" w:rsidR="00E617E2" w:rsidRPr="00E617E2" w:rsidRDefault="00E617E2" w:rsidP="00E617E2">
      <w:pPr>
        <w:spacing w:after="80"/>
        <w:ind w:left="14"/>
        <w:rPr>
          <w:rFonts w:ascii="Arial" w:hAnsi="Arial" w:cs="Arial"/>
          <w:sz w:val="18"/>
          <w:szCs w:val="18"/>
        </w:rPr>
      </w:pPr>
      <w:r w:rsidRPr="00E617E2">
        <w:rPr>
          <w:rFonts w:ascii="Arial" w:hAnsi="Arial" w:cs="Arial"/>
          <w:sz w:val="18"/>
          <w:szCs w:val="18"/>
        </w:rPr>
        <w:t>Similarly, the Company provides health benefits to employees who suffer gender dysphoria/confusion, and who seek medical, chemical, and/or surgical treatments to aid their "transition" to their non-biological sex. The Company reports, "Not only was Microsoft an early leader in including sexual orientation in its corporate non-discrimination policy, but it continues to evolve to support employees—for instance, by broadening its health benefits to encompass medical needs for US-based transgender employees and their transgender dependents."</w:t>
      </w:r>
      <w:r w:rsidRPr="00E617E2">
        <w:rPr>
          <w:rFonts w:ascii="Arial" w:hAnsi="Arial" w:cs="Arial"/>
          <w:sz w:val="18"/>
          <w:szCs w:val="18"/>
          <w:vertAlign w:val="superscript"/>
        </w:rPr>
        <w:footnoteReference w:id="2"/>
      </w:r>
    </w:p>
    <w:p w14:paraId="76CAD71F" w14:textId="77777777" w:rsidR="00E617E2" w:rsidRPr="00E617E2" w:rsidRDefault="00E617E2" w:rsidP="00E617E2">
      <w:pPr>
        <w:spacing w:after="80"/>
        <w:ind w:left="14"/>
        <w:rPr>
          <w:rFonts w:ascii="Arial" w:hAnsi="Arial" w:cs="Arial"/>
          <w:sz w:val="18"/>
          <w:szCs w:val="18"/>
        </w:rPr>
      </w:pPr>
      <w:r w:rsidRPr="00E617E2">
        <w:rPr>
          <w:rFonts w:ascii="Arial" w:hAnsi="Arial" w:cs="Arial"/>
          <w:sz w:val="18"/>
          <w:szCs w:val="18"/>
        </w:rPr>
        <w:t xml:space="preserve">The Company has staked out a position on gender dysphoria/confusion which affirms that sufferers can transition to a different sex, both psychologically and physically. Yet an increasing body of scientific evidence shows distinct </w:t>
      </w:r>
      <w:proofErr w:type="gramStart"/>
      <w:r w:rsidRPr="00E617E2">
        <w:rPr>
          <w:rFonts w:ascii="Arial" w:hAnsi="Arial" w:cs="Arial"/>
          <w:sz w:val="18"/>
          <w:szCs w:val="18"/>
        </w:rPr>
        <w:t>harms actually result</w:t>
      </w:r>
      <w:proofErr w:type="gramEnd"/>
      <w:r w:rsidRPr="00E617E2">
        <w:rPr>
          <w:rFonts w:ascii="Arial" w:hAnsi="Arial" w:cs="Arial"/>
          <w:sz w:val="18"/>
          <w:szCs w:val="18"/>
        </w:rPr>
        <w:t xml:space="preserve"> from medical and surgical "transition" treatments. Examples include various long-lasting side effects like chronic pain, sexual dysfunction, unwanted hair loss and hair gain, menstrual irregularities, urinary problems, and other complications.</w:t>
      </w:r>
      <w:r w:rsidRPr="00E617E2">
        <w:rPr>
          <w:rFonts w:ascii="Arial" w:hAnsi="Arial" w:cs="Arial"/>
          <w:sz w:val="18"/>
          <w:szCs w:val="18"/>
          <w:vertAlign w:val="superscript"/>
        </w:rPr>
        <w:footnoteReference w:id="3"/>
      </w:r>
      <w:r w:rsidRPr="00E617E2">
        <w:rPr>
          <w:rFonts w:ascii="Arial" w:hAnsi="Arial" w:cs="Arial"/>
          <w:sz w:val="18"/>
          <w:szCs w:val="18"/>
          <w:vertAlign w:val="superscript"/>
        </w:rPr>
        <w:t xml:space="preserve"> </w:t>
      </w:r>
      <w:r w:rsidRPr="00E617E2">
        <w:rPr>
          <w:rFonts w:ascii="Arial" w:hAnsi="Arial" w:cs="Arial"/>
          <w:sz w:val="18"/>
          <w:szCs w:val="18"/>
        </w:rPr>
        <w:t>Rather than resolve mental health problems, such "gender affirming" care instead often exacerbates them. In such instances, patients who desire to "de-transition" cannot find medical or insurance coverage that they need. Many of these sufferers litigate against those who misled or mistreated them regarding the necessity and alleged "success" of "transition" therapies.</w:t>
      </w:r>
      <w:r w:rsidRPr="00E617E2">
        <w:rPr>
          <w:rFonts w:ascii="Arial" w:hAnsi="Arial" w:cs="Arial"/>
          <w:sz w:val="18"/>
          <w:szCs w:val="18"/>
          <w:vertAlign w:val="superscript"/>
        </w:rPr>
        <w:footnoteReference w:id="4"/>
      </w:r>
    </w:p>
    <w:p w14:paraId="7A51B199" w14:textId="23904A2E" w:rsidR="00E617E2" w:rsidRPr="00E617E2" w:rsidRDefault="00E617E2" w:rsidP="007D1AD1">
      <w:pPr>
        <w:spacing w:after="80"/>
        <w:ind w:left="-1" w:right="86"/>
        <w:jc w:val="both"/>
        <w:rPr>
          <w:rFonts w:ascii="Arial" w:hAnsi="Arial" w:cs="Arial"/>
          <w:b/>
          <w:bCs/>
          <w:color w:val="0075C9"/>
          <w:sz w:val="20"/>
        </w:rPr>
      </w:pPr>
      <w:r w:rsidRPr="00E617E2">
        <w:rPr>
          <w:rFonts w:ascii="Arial" w:hAnsi="Arial" w:cs="Arial"/>
          <w:sz w:val="18"/>
          <w:szCs w:val="18"/>
        </w:rPr>
        <w:t>Resolved: Shareholders request Microsoft report on median compensation and benefits gaps across gender as they address reproductive and gender dysphoria care, including associated policy, reputational, competitive, operational and litigative risks, and risks related to recruiting and retaining diverse talent. The report should be prepared at reasonable cost, omitting proprietary information, litigation strategy and legal compliance information.</w:t>
      </w:r>
    </w:p>
    <w:p w14:paraId="2B172F06" w14:textId="77777777" w:rsidR="00E617E2" w:rsidRPr="00E617E2" w:rsidRDefault="00E617E2" w:rsidP="00E617E2">
      <w:pPr>
        <w:rPr>
          <w:rFonts w:ascii="Arial" w:hAnsi="Arial" w:cs="Arial"/>
          <w:b/>
          <w:bCs/>
          <w:color w:val="0075C9"/>
          <w:sz w:val="20"/>
        </w:rPr>
      </w:pPr>
      <w:r w:rsidRPr="00E617E2">
        <w:rPr>
          <w:rFonts w:ascii="Arial" w:hAnsi="Arial" w:cs="Arial"/>
          <w:b/>
          <w:bCs/>
          <w:color w:val="0075C9"/>
          <w:sz w:val="20"/>
        </w:rPr>
        <w:br w:type="page"/>
      </w:r>
    </w:p>
    <w:p w14:paraId="3373B725" w14:textId="77777777" w:rsidR="00E617E2" w:rsidRPr="00E617E2" w:rsidRDefault="00E617E2" w:rsidP="00E617E2">
      <w:pPr>
        <w:keepNext/>
        <w:spacing w:before="120" w:after="120"/>
        <w:rPr>
          <w:rFonts w:ascii="Arial" w:hAnsi="Arial" w:cs="Arial"/>
          <w:sz w:val="18"/>
          <w:szCs w:val="18"/>
        </w:rPr>
      </w:pPr>
      <w:r w:rsidRPr="00E617E2">
        <w:rPr>
          <w:rFonts w:ascii="Arial" w:hAnsi="Arial" w:cs="Arial"/>
          <w:b/>
          <w:bCs/>
          <w:color w:val="0075C9"/>
          <w:sz w:val="18"/>
          <w:szCs w:val="18"/>
        </w:rPr>
        <w:lastRenderedPageBreak/>
        <w:t xml:space="preserve">Board Recommendation </w:t>
      </w:r>
    </w:p>
    <w:p w14:paraId="7945E898" w14:textId="77777777" w:rsidR="00E617E2" w:rsidRPr="00E617E2" w:rsidRDefault="00E617E2" w:rsidP="00E617E2">
      <w:pPr>
        <w:keepNext/>
        <w:spacing w:before="120" w:after="120"/>
        <w:rPr>
          <w:rFonts w:ascii="Arial" w:hAnsi="Arial" w:cs="Arial"/>
          <w:sz w:val="18"/>
          <w:szCs w:val="18"/>
        </w:rPr>
      </w:pPr>
      <w:r w:rsidRPr="00E617E2">
        <w:rPr>
          <w:rFonts w:ascii="Arial" w:hAnsi="Arial" w:cs="Arial"/>
          <w:b/>
          <w:bCs/>
          <w:i/>
          <w:iCs/>
          <w:color w:val="0075C9"/>
          <w:sz w:val="18"/>
          <w:szCs w:val="18"/>
        </w:rPr>
        <w:t xml:space="preserve">The Board of Directors recommends a vote AGAINST the proposal for the following reasons: </w:t>
      </w:r>
    </w:p>
    <w:p w14:paraId="09F90D7A" w14:textId="77777777" w:rsidR="00E617E2" w:rsidRPr="00E617E2" w:rsidRDefault="00E617E2" w:rsidP="00E617E2">
      <w:pPr>
        <w:keepNext/>
        <w:spacing w:before="120" w:after="120"/>
        <w:rPr>
          <w:rFonts w:ascii="Arial" w:hAnsi="Arial" w:cs="Arial"/>
          <w:sz w:val="20"/>
        </w:rPr>
      </w:pPr>
      <w:r w:rsidRPr="00E617E2">
        <w:rPr>
          <w:rFonts w:ascii="Arial" w:hAnsi="Arial" w:cs="Arial"/>
          <w:b/>
          <w:bCs/>
          <w:sz w:val="18"/>
          <w:szCs w:val="18"/>
        </w:rPr>
        <w:t xml:space="preserve">COMPANY STATEMENT IN OPPOSITION </w:t>
      </w:r>
    </w:p>
    <w:p w14:paraId="3286B758" w14:textId="77777777" w:rsidR="00E617E2" w:rsidRPr="00E617E2" w:rsidRDefault="00E617E2" w:rsidP="00E617E2">
      <w:pPr>
        <w:keepNext/>
        <w:spacing w:before="80" w:after="80"/>
        <w:rPr>
          <w:rFonts w:ascii="Arial" w:eastAsia="Arial" w:hAnsi="Arial" w:cs="Arial"/>
          <w:sz w:val="18"/>
          <w:szCs w:val="18"/>
        </w:rPr>
      </w:pPr>
      <w:r w:rsidRPr="00E617E2">
        <w:rPr>
          <w:rFonts w:ascii="Arial" w:eastAsia="Arial" w:hAnsi="Arial" w:cs="Arial"/>
          <w:sz w:val="18"/>
          <w:szCs w:val="18"/>
        </w:rPr>
        <w:t xml:space="preserve">The proponent requests Microsoft report on median compensation and benefits gaps across gender “as they address reproductive and gender dysphoria care.” Microsoft already provides pay equity and median gender and racial pay gap reporting. Based on the language of the proposal, the request for additional reporting appears to stem from animosity towards certain reproductive and gender-related health benefits. We strongly believe the requested report is unnecessary given Microsoft’s strong existing pay disclosures and the comprehensive and inclusive set of benefits we provide to Microsoft employees. We further believe such reporting would be counter-productive to our efforts to recruit and retain diverse talent. </w:t>
      </w:r>
    </w:p>
    <w:p w14:paraId="75348362" w14:textId="77777777" w:rsidR="00E617E2" w:rsidRPr="00E617E2" w:rsidRDefault="00E617E2" w:rsidP="00E617E2">
      <w:pPr>
        <w:keepNext/>
        <w:spacing w:before="80" w:after="80"/>
        <w:rPr>
          <w:rFonts w:ascii="Arial" w:eastAsia="Arial" w:hAnsi="Arial" w:cs="Arial"/>
          <w:sz w:val="18"/>
          <w:szCs w:val="18"/>
          <w:shd w:val="clear" w:color="auto" w:fill="FFFFFF"/>
        </w:rPr>
      </w:pPr>
      <w:r w:rsidRPr="00E617E2">
        <w:rPr>
          <w:rFonts w:ascii="Arial" w:eastAsia="Arial" w:hAnsi="Arial" w:cs="Arial"/>
          <w:sz w:val="18"/>
          <w:szCs w:val="18"/>
        </w:rPr>
        <w:t xml:space="preserve">As a baseline of our existing pay disclosures, </w:t>
      </w:r>
      <w:r w:rsidRPr="00E617E2">
        <w:rPr>
          <w:rFonts w:ascii="Arial" w:eastAsia="Arial" w:hAnsi="Arial" w:cs="Arial"/>
          <w:sz w:val="18"/>
          <w:szCs w:val="18"/>
          <w:shd w:val="clear" w:color="auto" w:fill="FFFFFF"/>
        </w:rPr>
        <w:t xml:space="preserve">Microsoft has reported on pay equity since 2016 in support of our commitment to pay employees equitably for substantially similar work. To further highlight the opportunity to continue to make progress on representation at all levels of the Company, in our 2022 Global Diversity and Inclusion Report, we began disclosing the unadjusted differences in median total pay for women inside and outside of the U.S., and for racial and ethnic minorities, Asian, Black and African American, and Hispanic and Latinx employees in the U.S. </w:t>
      </w:r>
    </w:p>
    <w:p w14:paraId="7AA12D53" w14:textId="77777777" w:rsidR="00E617E2" w:rsidRPr="00E617E2" w:rsidRDefault="00E617E2" w:rsidP="00E617E2">
      <w:pPr>
        <w:spacing w:before="80" w:after="80"/>
        <w:textAlignment w:val="baseline"/>
        <w:rPr>
          <w:rFonts w:ascii="Arial" w:eastAsia="Arial" w:hAnsi="Arial" w:cs="Arial"/>
          <w:sz w:val="18"/>
          <w:szCs w:val="18"/>
          <w14:ligatures w14:val="standardContextual"/>
        </w:rPr>
      </w:pPr>
      <w:r w:rsidRPr="00E617E2">
        <w:rPr>
          <w:rFonts w:ascii="Arial" w:eastAsia="Arial" w:hAnsi="Arial" w:cs="Arial"/>
          <w:sz w:val="18"/>
          <w:szCs w:val="18"/>
          <w:shd w:val="clear" w:color="auto" w:fill="FFFFFF"/>
          <w14:ligatures w14:val="standardContextual"/>
        </w:rPr>
        <w:t xml:space="preserve">In terms of the benefits we offer, we believe it’s our responsibility to create an environment where people can do their best work—a place where they can proudly be their authentic selves, and where they know their needs can be met. </w:t>
      </w:r>
      <w:r w:rsidRPr="00E617E2">
        <w:rPr>
          <w:rFonts w:ascii="Arial" w:eastAsia="Arial" w:hAnsi="Arial" w:cs="Arial"/>
          <w:sz w:val="18"/>
          <w:szCs w:val="18"/>
          <w14:ligatures w14:val="standardContextual"/>
        </w:rPr>
        <w:t xml:space="preserve">We are constantly listening to employee feedback to establish and evolve our benefits that creates a more diverse and inclusive environment and recognizes the importance of employees to the continued success of Microsoft. </w:t>
      </w:r>
      <w:r w:rsidRPr="00E617E2">
        <w:rPr>
          <w:rFonts w:ascii="Arial" w:eastAsia="Arial" w:hAnsi="Arial" w:cs="Arial"/>
          <w:sz w:val="18"/>
          <w:szCs w:val="18"/>
          <w:shd w:val="clear" w:color="auto" w:fill="FFFFFF"/>
          <w14:ligatures w14:val="standardContextual"/>
        </w:rPr>
        <w:t>We’ve worked to align our benefits to our culture, as guided by this priority, evolving them to be more holistic and inclusive.  </w:t>
      </w:r>
    </w:p>
    <w:p w14:paraId="1454CA8E" w14:textId="77777777" w:rsidR="00E617E2" w:rsidRPr="00E617E2" w:rsidRDefault="00E617E2" w:rsidP="00E617E2">
      <w:pPr>
        <w:spacing w:before="80" w:after="80"/>
        <w:textAlignment w:val="baseline"/>
        <w:rPr>
          <w:rFonts w:ascii="Arial" w:eastAsia="Arial" w:hAnsi="Arial" w:cs="Arial"/>
          <w:sz w:val="18"/>
          <w:szCs w:val="18"/>
          <w14:ligatures w14:val="standardContextual"/>
        </w:rPr>
      </w:pPr>
      <w:r w:rsidRPr="00E617E2">
        <w:rPr>
          <w:rFonts w:ascii="Arial" w:eastAsia="Arial" w:hAnsi="Arial" w:cs="Arial"/>
          <w:sz w:val="18"/>
          <w:szCs w:val="18"/>
          <w14:ligatures w14:val="standardContextual"/>
        </w:rPr>
        <w:t xml:space="preserve">Our industry-leading employee benefits include but are not limited to health care benefits that rank amongst the top in our industry. Far from the assertions raised in the proposal, Microsoft offers comprehensive health and wellbeing benefits for families such as paid vacation, paid sick leave, paid time off for new parents, fertility, adoption and surrogacy assistance, birthing, doula and postpartum support, caregiver leave, subsidized childcare, and more. Indeed, Microsoft </w:t>
      </w:r>
      <w:r w:rsidRPr="00E617E2">
        <w:rPr>
          <w:rFonts w:ascii="Arial" w:eastAsia="Arial" w:hAnsi="Arial" w:cs="Arial"/>
          <w:sz w:val="18"/>
          <w:szCs w:val="18"/>
          <w:shd w:val="clear" w:color="auto" w:fill="FFFFFF"/>
          <w14:ligatures w14:val="standardContextual"/>
        </w:rPr>
        <w:t xml:space="preserve">places enough importance on the business benefits of paid parental leave that in 2018 we </w:t>
      </w:r>
      <w:r w:rsidRPr="00E617E2">
        <w:rPr>
          <w:rFonts w:ascii="Arial" w:eastAsia="Arial" w:hAnsi="Arial" w:cs="Arial"/>
          <w:sz w:val="18"/>
          <w:szCs w:val="18"/>
          <w14:ligatures w14:val="standardContextual"/>
        </w:rPr>
        <w:t xml:space="preserve">launched a new policy to ensure our U.S. suppliers </w:t>
      </w:r>
      <w:r w:rsidRPr="00E617E2">
        <w:rPr>
          <w:rFonts w:ascii="Arial" w:eastAsia="Arial" w:hAnsi="Arial" w:cs="Arial"/>
          <w:sz w:val="18"/>
          <w:szCs w:val="18"/>
          <w:shd w:val="clear" w:color="auto" w:fill="FFFFFF"/>
          <w14:ligatures w14:val="standardContextual"/>
        </w:rPr>
        <w:t>offer their employees a minimum of 12 weeks paid parental leave</w:t>
      </w:r>
      <w:r w:rsidRPr="00E617E2">
        <w:rPr>
          <w:rFonts w:ascii="Arial" w:eastAsia="Arial" w:hAnsi="Arial" w:cs="Arial"/>
          <w:sz w:val="18"/>
          <w:szCs w:val="18"/>
          <w14:ligatures w14:val="standardContextual"/>
        </w:rPr>
        <w:t xml:space="preserve"> for their employees doing significant work for Microsoft. </w:t>
      </w:r>
    </w:p>
    <w:p w14:paraId="13EB77BD" w14:textId="77777777" w:rsidR="00E617E2" w:rsidRPr="00E617E2" w:rsidRDefault="00E617E2" w:rsidP="00E617E2">
      <w:pPr>
        <w:spacing w:before="80" w:after="80"/>
        <w:rPr>
          <w:rFonts w:ascii="Arial" w:eastAsia="Arial" w:hAnsi="Arial" w:cs="Arial"/>
          <w:color w:val="333333"/>
          <w:sz w:val="20"/>
        </w:rPr>
        <w:sectPr w:rsidR="00E617E2" w:rsidRPr="00E617E2" w:rsidSect="00E617E2">
          <w:footnotePr>
            <w:numRestart w:val="eachPage"/>
          </w:footnotePr>
          <w:pgSz w:w="12240" w:h="15840"/>
          <w:pgMar w:top="720" w:right="720" w:bottom="720" w:left="720" w:header="720" w:footer="720" w:gutter="0"/>
          <w:cols w:space="720"/>
          <w:docGrid w:linePitch="360"/>
        </w:sectPr>
      </w:pPr>
      <w:r w:rsidRPr="00E617E2">
        <w:rPr>
          <w:rFonts w:ascii="Arial" w:eastAsia="Arial" w:hAnsi="Arial" w:cs="Arial"/>
          <w:sz w:val="18"/>
          <w:szCs w:val="18"/>
        </w:rPr>
        <w:t>As part of our commitment to inclusive benefits, Microsoft will continue to lawfully support our employees and their enrolled dependents in accessing critical healthcare regardless of where they live across the U.S., which includes travel expense assistance for lawful medical services where access to care is limited in availability in an employee’s home geographic region.</w:t>
      </w:r>
    </w:p>
    <w:p w14:paraId="4B5D5272" w14:textId="77777777" w:rsidR="00E617E2" w:rsidRPr="00E617E2" w:rsidRDefault="00E617E2" w:rsidP="00E617E2">
      <w:pPr>
        <w:spacing w:after="80"/>
        <w:ind w:left="14"/>
        <w:rPr>
          <w:rFonts w:ascii="Arial" w:hAnsi="Arial" w:cs="Arial"/>
          <w:b/>
          <w:bCs/>
          <w:szCs w:val="24"/>
        </w:rPr>
      </w:pPr>
      <w:r w:rsidRPr="00E617E2">
        <w:rPr>
          <w:rFonts w:ascii="Arial" w:eastAsiaTheme="minorHAnsi" w:hAnsi="Arial" w:cs="Arial"/>
          <w:b/>
          <w:bCs/>
          <w:kern w:val="2"/>
          <w:szCs w:val="24"/>
          <w14:ligatures w14:val="standardContextual"/>
        </w:rPr>
        <w:lastRenderedPageBreak/>
        <w:t xml:space="preserve">Proposal 6: Report on Risk from Omitting Ideology in EEO Policy </w:t>
      </w:r>
      <w:r w:rsidRPr="00E617E2">
        <w:rPr>
          <w:rFonts w:ascii="Arial" w:hAnsi="Arial" w:cs="Arial"/>
          <w:b/>
          <w:bCs/>
          <w:szCs w:val="24"/>
        </w:rPr>
        <w:t>(Shareholder Proposal)</w:t>
      </w:r>
    </w:p>
    <w:p w14:paraId="5630AF83" w14:textId="77777777" w:rsidR="00E617E2" w:rsidRPr="00E617E2" w:rsidRDefault="00E617E2" w:rsidP="00E617E2">
      <w:pPr>
        <w:spacing w:after="240"/>
        <w:ind w:left="14"/>
        <w:rPr>
          <w:rFonts w:ascii="Arial" w:hAnsi="Arial" w:cs="Arial"/>
          <w:b/>
          <w:bCs/>
          <w:color w:val="000000"/>
          <w:sz w:val="18"/>
          <w:szCs w:val="18"/>
        </w:rPr>
      </w:pPr>
      <w:r w:rsidRPr="00E617E2">
        <w:rPr>
          <w:rFonts w:ascii="Arial" w:hAnsi="Arial" w:cs="Arial"/>
          <w:sz w:val="18"/>
          <w:szCs w:val="18"/>
        </w:rPr>
        <w:t>National Center for Public Policy Research has advised us that they intend to submit the following proposal for consideration at the Annual Meeting.</w:t>
      </w:r>
    </w:p>
    <w:p w14:paraId="24CA1519" w14:textId="77777777" w:rsidR="00E617E2" w:rsidRPr="00E617E2" w:rsidRDefault="00E617E2" w:rsidP="00E617E2">
      <w:pPr>
        <w:rPr>
          <w:rFonts w:ascii="Arial" w:hAnsi="Arial" w:cs="Arial"/>
          <w:b/>
          <w:bCs/>
          <w:color w:val="000000"/>
          <w:sz w:val="18"/>
          <w:szCs w:val="18"/>
        </w:rPr>
      </w:pPr>
      <w:r w:rsidRPr="00E617E2">
        <w:rPr>
          <w:rFonts w:ascii="Arial" w:hAnsi="Arial" w:cs="Arial"/>
          <w:b/>
          <w:bCs/>
          <w:color w:val="000000"/>
          <w:sz w:val="18"/>
          <w:szCs w:val="18"/>
        </w:rPr>
        <w:t xml:space="preserve">EEO Policy Risk Report </w:t>
      </w:r>
    </w:p>
    <w:p w14:paraId="7798381F" w14:textId="77777777" w:rsidR="00E617E2" w:rsidRPr="00E617E2" w:rsidRDefault="00E617E2" w:rsidP="00E617E2">
      <w:pPr>
        <w:rPr>
          <w:rFonts w:ascii="Arial" w:hAnsi="Arial" w:cs="Arial"/>
          <w:color w:val="000000"/>
          <w:sz w:val="18"/>
          <w:szCs w:val="18"/>
        </w:rPr>
      </w:pPr>
      <w:r w:rsidRPr="00E617E2">
        <w:rPr>
          <w:rFonts w:ascii="Arial" w:hAnsi="Arial" w:cs="Arial"/>
          <w:color w:val="000000"/>
          <w:sz w:val="18"/>
          <w:szCs w:val="18"/>
        </w:rPr>
        <w:t xml:space="preserve"> </w:t>
      </w:r>
    </w:p>
    <w:p w14:paraId="25ADE783" w14:textId="77777777" w:rsidR="00E617E2" w:rsidRPr="00E617E2" w:rsidRDefault="00E617E2" w:rsidP="00E617E2">
      <w:pPr>
        <w:keepNext/>
        <w:keepLines/>
        <w:spacing w:after="80"/>
        <w:ind w:left="-5"/>
        <w:outlineLvl w:val="0"/>
        <w:rPr>
          <w:rFonts w:ascii="Arial" w:hAnsi="Arial" w:cs="Arial"/>
          <w:color w:val="000000"/>
          <w:sz w:val="18"/>
          <w:szCs w:val="18"/>
        </w:rPr>
      </w:pPr>
      <w:r w:rsidRPr="00E617E2">
        <w:rPr>
          <w:rFonts w:ascii="Arial" w:hAnsi="Arial" w:cs="Arial"/>
          <w:color w:val="000000"/>
          <w:sz w:val="18"/>
          <w:szCs w:val="18"/>
        </w:rPr>
        <w:t xml:space="preserve">RESOLVED </w:t>
      </w:r>
    </w:p>
    <w:p w14:paraId="1B9755F2" w14:textId="77777777" w:rsidR="00E617E2" w:rsidRPr="00E617E2" w:rsidRDefault="00E617E2" w:rsidP="00E617E2">
      <w:pPr>
        <w:spacing w:after="80"/>
        <w:ind w:left="-5"/>
        <w:rPr>
          <w:rFonts w:ascii="Arial" w:hAnsi="Arial" w:cs="Arial"/>
          <w:color w:val="000000"/>
          <w:sz w:val="18"/>
          <w:szCs w:val="18"/>
        </w:rPr>
      </w:pPr>
      <w:r w:rsidRPr="00E617E2">
        <w:rPr>
          <w:rFonts w:ascii="Arial" w:hAnsi="Arial" w:cs="Arial"/>
          <w:color w:val="000000"/>
          <w:sz w:val="18"/>
          <w:szCs w:val="18"/>
        </w:rPr>
        <w:t xml:space="preserve">Shareholders request that Microsoft Corporation (“Microsoft”) issue a public report detailing the potential risks associated with omitting “viewpoint” and “ideology” from its written equal employment opportunity (EEO) policy. The report should be available within a reasonable timeframe, prepared at a reasonable expense and omit proprietary information. </w:t>
      </w:r>
    </w:p>
    <w:p w14:paraId="17C8F816" w14:textId="77777777" w:rsidR="00E617E2" w:rsidRPr="00E617E2" w:rsidRDefault="00E617E2" w:rsidP="00E617E2">
      <w:pPr>
        <w:keepNext/>
        <w:keepLines/>
        <w:spacing w:after="80"/>
        <w:ind w:left="-5"/>
        <w:outlineLvl w:val="0"/>
        <w:rPr>
          <w:rFonts w:ascii="Arial" w:hAnsi="Arial" w:cs="Arial"/>
          <w:color w:val="000000"/>
          <w:sz w:val="18"/>
          <w:szCs w:val="18"/>
        </w:rPr>
      </w:pPr>
      <w:r w:rsidRPr="00E617E2">
        <w:rPr>
          <w:rFonts w:ascii="Arial" w:hAnsi="Arial" w:cs="Arial"/>
          <w:color w:val="000000"/>
          <w:sz w:val="18"/>
          <w:szCs w:val="18"/>
        </w:rPr>
        <w:t xml:space="preserve">SUPPORTING STATEMENT </w:t>
      </w:r>
    </w:p>
    <w:p w14:paraId="13E22F4C" w14:textId="77777777" w:rsidR="00E617E2" w:rsidRPr="00E617E2" w:rsidRDefault="00E617E2" w:rsidP="00E617E2">
      <w:pPr>
        <w:spacing w:after="80"/>
        <w:ind w:left="-5"/>
        <w:rPr>
          <w:rFonts w:ascii="Arial" w:hAnsi="Arial" w:cs="Arial"/>
          <w:color w:val="000000"/>
          <w:sz w:val="18"/>
          <w:szCs w:val="18"/>
        </w:rPr>
      </w:pPr>
      <w:r w:rsidRPr="00E617E2">
        <w:rPr>
          <w:rFonts w:ascii="Arial" w:hAnsi="Arial" w:cs="Arial"/>
          <w:color w:val="000000"/>
          <w:sz w:val="18"/>
          <w:szCs w:val="18"/>
        </w:rPr>
        <w:t xml:space="preserve">Microsoft does not explicitly prohibit discrimination based on viewpoint or ideology in its written EEO policy.  </w:t>
      </w:r>
    </w:p>
    <w:p w14:paraId="673D3F23" w14:textId="77777777" w:rsidR="00E617E2" w:rsidRPr="00E617E2" w:rsidRDefault="00E617E2" w:rsidP="00E617E2">
      <w:pPr>
        <w:spacing w:after="80"/>
        <w:ind w:left="-5"/>
        <w:rPr>
          <w:rFonts w:ascii="Arial" w:hAnsi="Arial" w:cs="Arial"/>
          <w:color w:val="000000"/>
          <w:sz w:val="18"/>
          <w:szCs w:val="18"/>
        </w:rPr>
      </w:pPr>
      <w:r w:rsidRPr="00E617E2">
        <w:rPr>
          <w:rFonts w:ascii="Arial" w:hAnsi="Arial" w:cs="Arial"/>
          <w:color w:val="000000"/>
          <w:sz w:val="18"/>
          <w:szCs w:val="18"/>
        </w:rPr>
        <w:t xml:space="preserve">Microsoft’s lack of a company-wide best practice EEO policy sends mixed signals to company employees and prospective employees and calls into question the extent to which individuals are protected due to inconsistent state policies and the absence of a relevant federal protection. Approximately half of Americans live and work in a jurisdiction with no legal protections if their employer </w:t>
      </w:r>
      <w:proofErr w:type="gramStart"/>
      <w:r w:rsidRPr="00E617E2">
        <w:rPr>
          <w:rFonts w:ascii="Arial" w:hAnsi="Arial" w:cs="Arial"/>
          <w:color w:val="000000"/>
          <w:sz w:val="18"/>
          <w:szCs w:val="18"/>
        </w:rPr>
        <w:t>takes action</w:t>
      </w:r>
      <w:proofErr w:type="gramEnd"/>
      <w:r w:rsidRPr="00E617E2">
        <w:rPr>
          <w:rFonts w:ascii="Arial" w:hAnsi="Arial" w:cs="Arial"/>
          <w:color w:val="000000"/>
          <w:sz w:val="18"/>
          <w:szCs w:val="18"/>
        </w:rPr>
        <w:t xml:space="preserve"> against them for their political activities or discriminates on the basis of viewpoint in the workplace.  </w:t>
      </w:r>
    </w:p>
    <w:p w14:paraId="33AC1B53" w14:textId="77777777" w:rsidR="00E617E2" w:rsidRPr="00E617E2" w:rsidRDefault="00E617E2" w:rsidP="00E617E2">
      <w:pPr>
        <w:spacing w:after="80"/>
        <w:ind w:left="-5"/>
        <w:rPr>
          <w:rFonts w:ascii="Arial" w:hAnsi="Arial" w:cs="Arial"/>
          <w:color w:val="000000"/>
          <w:sz w:val="18"/>
          <w:szCs w:val="18"/>
        </w:rPr>
      </w:pPr>
      <w:r w:rsidRPr="00E617E2">
        <w:rPr>
          <w:rFonts w:ascii="Arial" w:hAnsi="Arial" w:cs="Arial"/>
          <w:color w:val="000000"/>
          <w:sz w:val="18"/>
          <w:szCs w:val="18"/>
        </w:rPr>
        <w:t xml:space="preserve">Companies with inclusive policies are better able to recruit the most talented employees from a broad labor pool, resolve complaints internally to avoid costly litigation or reputational damage, and minimize employee turnover. Moreover, inclusive policies contribute to more efficient human capital management by eliminating the need to maintain different policies in different locations. </w:t>
      </w:r>
    </w:p>
    <w:p w14:paraId="6CA1116C" w14:textId="77777777" w:rsidR="00E617E2" w:rsidRPr="00E617E2" w:rsidRDefault="00E617E2" w:rsidP="00E617E2">
      <w:pPr>
        <w:spacing w:before="80" w:after="80"/>
        <w:ind w:left="-5"/>
        <w:rPr>
          <w:rFonts w:ascii="Arial" w:hAnsi="Arial" w:cs="Arial"/>
          <w:color w:val="000000"/>
          <w:sz w:val="18"/>
          <w:szCs w:val="18"/>
        </w:rPr>
      </w:pPr>
      <w:r w:rsidRPr="00E617E2">
        <w:rPr>
          <w:rFonts w:ascii="Arial" w:hAnsi="Arial" w:cs="Arial"/>
          <w:color w:val="000000"/>
          <w:sz w:val="18"/>
          <w:szCs w:val="18"/>
        </w:rPr>
        <w:t>There is ample evidence that individuals with conservative viewpoints may face discrimination at Microsoft. According to a letter sent to the Company by Congressman Jim Jordan:</w:t>
      </w:r>
      <w:r w:rsidRPr="00E617E2">
        <w:rPr>
          <w:rFonts w:ascii="Arial" w:hAnsi="Arial" w:cs="Arial"/>
          <w:color w:val="000000"/>
          <w:sz w:val="18"/>
          <w:szCs w:val="18"/>
          <w:vertAlign w:val="superscript"/>
        </w:rPr>
        <w:footnoteReference w:id="5"/>
      </w:r>
      <w:r w:rsidRPr="00E617E2">
        <w:rPr>
          <w:rFonts w:ascii="Arial" w:hAnsi="Arial" w:cs="Arial"/>
          <w:color w:val="000000"/>
          <w:sz w:val="18"/>
          <w:szCs w:val="18"/>
        </w:rPr>
        <w:t xml:space="preserve"> </w:t>
      </w:r>
    </w:p>
    <w:p w14:paraId="7A264701" w14:textId="77777777" w:rsidR="00E617E2" w:rsidRPr="00E617E2" w:rsidRDefault="00E617E2" w:rsidP="00E617E2">
      <w:pPr>
        <w:numPr>
          <w:ilvl w:val="0"/>
          <w:numId w:val="2"/>
        </w:numPr>
        <w:spacing w:after="80"/>
        <w:ind w:left="180" w:hanging="180"/>
        <w:rPr>
          <w:rFonts w:ascii="Arial" w:hAnsi="Arial" w:cs="Arial"/>
          <w:color w:val="000000"/>
          <w:sz w:val="18"/>
          <w:szCs w:val="18"/>
        </w:rPr>
      </w:pPr>
      <w:r w:rsidRPr="00E617E2">
        <w:rPr>
          <w:rFonts w:ascii="Arial" w:hAnsi="Arial" w:cs="Arial"/>
          <w:color w:val="000000"/>
          <w:sz w:val="18"/>
          <w:szCs w:val="18"/>
        </w:rPr>
        <w:t xml:space="preserve">Multiple LinkedIn users have reported Microsoft’s censorship of posts related to Hunter Biden, son of President Joe Biden. In one case, LinkedIn removed a post about an official U.S. Senate committee report concerning Hunter Biden. </w:t>
      </w:r>
    </w:p>
    <w:p w14:paraId="297EEB6C" w14:textId="77777777" w:rsidR="00E617E2" w:rsidRPr="00E617E2" w:rsidRDefault="00E617E2" w:rsidP="00E617E2">
      <w:pPr>
        <w:numPr>
          <w:ilvl w:val="0"/>
          <w:numId w:val="2"/>
        </w:numPr>
        <w:spacing w:after="80"/>
        <w:ind w:left="180" w:hanging="180"/>
        <w:rPr>
          <w:rFonts w:ascii="Arial" w:hAnsi="Arial" w:cs="Arial"/>
          <w:color w:val="000000"/>
          <w:sz w:val="18"/>
          <w:szCs w:val="18"/>
        </w:rPr>
      </w:pPr>
      <w:r w:rsidRPr="00E617E2">
        <w:rPr>
          <w:rFonts w:ascii="Arial" w:hAnsi="Arial" w:cs="Arial"/>
          <w:color w:val="000000"/>
          <w:sz w:val="18"/>
          <w:szCs w:val="18"/>
        </w:rPr>
        <w:t xml:space="preserve">LinkedIn also censored a post by an opinion editor at the Washington Times about Democrats’ abuse of executive orders and removed a post that linked to a study challenging prevailing liberal views on climate change.  </w:t>
      </w:r>
    </w:p>
    <w:p w14:paraId="051A6408" w14:textId="77777777" w:rsidR="00E617E2" w:rsidRPr="00E617E2" w:rsidRDefault="00E617E2" w:rsidP="00E617E2">
      <w:pPr>
        <w:numPr>
          <w:ilvl w:val="0"/>
          <w:numId w:val="2"/>
        </w:numPr>
        <w:spacing w:after="80"/>
        <w:ind w:left="180" w:hanging="180"/>
        <w:rPr>
          <w:rFonts w:ascii="Arial" w:hAnsi="Arial" w:cs="Arial"/>
          <w:color w:val="000000"/>
          <w:sz w:val="18"/>
          <w:szCs w:val="18"/>
        </w:rPr>
      </w:pPr>
      <w:r w:rsidRPr="00E617E2">
        <w:rPr>
          <w:rFonts w:ascii="Arial" w:hAnsi="Arial" w:cs="Arial"/>
          <w:color w:val="000000"/>
          <w:sz w:val="18"/>
          <w:szCs w:val="18"/>
        </w:rPr>
        <w:t xml:space="preserve">LinkedIn has restricted accounts for posts related to COVID-19. Citing its “misinformation” policy, LinkedIn censored posts that the coronavirus originated from a dangerous laboratory in Wuhan, China, as well as posts that criticized government mandated mask requirements. </w:t>
      </w:r>
    </w:p>
    <w:p w14:paraId="607C398E" w14:textId="77777777" w:rsidR="00E617E2" w:rsidRPr="00E617E2" w:rsidRDefault="00E617E2" w:rsidP="00E617E2">
      <w:pPr>
        <w:spacing w:before="80" w:after="80"/>
        <w:rPr>
          <w:rFonts w:ascii="Arial" w:hAnsi="Arial" w:cs="Arial"/>
          <w:color w:val="000000"/>
          <w:sz w:val="18"/>
          <w:szCs w:val="18"/>
        </w:rPr>
      </w:pPr>
      <w:r w:rsidRPr="00E617E2">
        <w:rPr>
          <w:rFonts w:ascii="Arial" w:hAnsi="Arial" w:cs="Arial"/>
          <w:color w:val="000000"/>
          <w:sz w:val="18"/>
          <w:szCs w:val="18"/>
        </w:rPr>
        <w:t>Additionally, there are reports that Microsoft Word’s “Ideas in Word” tool urges users to avoid language that Microsoft dislikes and instead to adopt language Microsoft considers to be appropriate and “gender neutral.”</w:t>
      </w:r>
      <w:r w:rsidRPr="00E617E2">
        <w:rPr>
          <w:rFonts w:ascii="Arial" w:hAnsi="Arial" w:cs="Arial"/>
          <w:color w:val="000000"/>
          <w:sz w:val="18"/>
          <w:szCs w:val="18"/>
          <w:vertAlign w:val="superscript"/>
        </w:rPr>
        <w:footnoteReference w:id="6"/>
      </w:r>
      <w:r w:rsidRPr="00E617E2">
        <w:rPr>
          <w:rFonts w:ascii="Arial" w:hAnsi="Arial" w:cs="Arial"/>
          <w:color w:val="000000"/>
          <w:sz w:val="18"/>
          <w:szCs w:val="18"/>
        </w:rPr>
        <w:t xml:space="preserve"> </w:t>
      </w:r>
    </w:p>
    <w:p w14:paraId="18B8F4B3" w14:textId="77777777" w:rsidR="00E617E2" w:rsidRPr="00E617E2" w:rsidRDefault="00E617E2" w:rsidP="00E617E2">
      <w:pPr>
        <w:spacing w:after="80"/>
        <w:rPr>
          <w:rFonts w:ascii="Arial" w:hAnsi="Arial" w:cs="Arial"/>
          <w:color w:val="000000"/>
          <w:sz w:val="18"/>
          <w:szCs w:val="18"/>
        </w:rPr>
      </w:pPr>
      <w:r w:rsidRPr="00E617E2">
        <w:rPr>
          <w:rFonts w:ascii="Arial" w:hAnsi="Arial" w:cs="Arial"/>
          <w:color w:val="000000"/>
          <w:sz w:val="18"/>
          <w:szCs w:val="18"/>
        </w:rPr>
        <w:t>If Microsoft is willing to use its products to force its politics on consumers, the Company is surely willing to do it to its own employees.</w:t>
      </w:r>
    </w:p>
    <w:p w14:paraId="0A903107" w14:textId="77777777" w:rsidR="00E617E2" w:rsidRPr="00E617E2" w:rsidRDefault="00E617E2" w:rsidP="00E617E2">
      <w:pPr>
        <w:spacing w:after="80"/>
        <w:ind w:left="-5"/>
        <w:rPr>
          <w:rFonts w:ascii="Arial" w:hAnsi="Arial" w:cs="Arial"/>
          <w:color w:val="000000"/>
          <w:sz w:val="18"/>
          <w:szCs w:val="18"/>
        </w:rPr>
      </w:pPr>
      <w:r w:rsidRPr="00E617E2">
        <w:rPr>
          <w:rFonts w:ascii="Arial" w:hAnsi="Arial" w:cs="Arial"/>
          <w:color w:val="000000"/>
          <w:sz w:val="18"/>
          <w:szCs w:val="18"/>
        </w:rPr>
        <w:t xml:space="preserve">Presently, shareholders are unable to evaluate how Microsoft prevents discrimination towards employees based on their ideology or viewpoint, mitigates employee concerns of potential discrimination, and ensures a respectful and supportive work atmosphere that bolsters employee performance.  </w:t>
      </w:r>
    </w:p>
    <w:p w14:paraId="58B57D48" w14:textId="77777777" w:rsidR="00E617E2" w:rsidRPr="00E617E2" w:rsidRDefault="00E617E2" w:rsidP="00E617E2">
      <w:pPr>
        <w:spacing w:after="80"/>
        <w:ind w:left="-5"/>
        <w:rPr>
          <w:rFonts w:ascii="Arial" w:hAnsi="Arial" w:cs="Arial"/>
          <w:color w:val="000000"/>
          <w:sz w:val="18"/>
          <w:szCs w:val="18"/>
        </w:rPr>
      </w:pPr>
      <w:r w:rsidRPr="00E617E2">
        <w:rPr>
          <w:rFonts w:ascii="Arial" w:hAnsi="Arial" w:cs="Arial"/>
          <w:color w:val="000000"/>
          <w:sz w:val="18"/>
          <w:szCs w:val="18"/>
        </w:rPr>
        <w:t xml:space="preserve">Without an inclusive EEO policy, Microsoft may be sacrificing competitive advantages relative to peers while simultaneously increasing company and shareholder exposure to reputational and financial risks.  </w:t>
      </w:r>
    </w:p>
    <w:p w14:paraId="459425A6" w14:textId="77777777" w:rsidR="00E617E2" w:rsidRPr="00E617E2" w:rsidRDefault="00E617E2" w:rsidP="00E617E2">
      <w:pPr>
        <w:spacing w:after="80"/>
        <w:ind w:left="-5"/>
        <w:rPr>
          <w:rFonts w:ascii="Arial" w:hAnsi="Arial" w:cs="Arial"/>
          <w:color w:val="000000"/>
          <w:sz w:val="20"/>
          <w:shd w:val="clear" w:color="auto" w:fill="FFFFFF"/>
        </w:rPr>
        <w:sectPr w:rsidR="00E617E2" w:rsidRPr="00E617E2" w:rsidSect="004929E2">
          <w:footnotePr>
            <w:numRestart w:val="eachSect"/>
          </w:footnotePr>
          <w:pgSz w:w="12240" w:h="15840"/>
          <w:pgMar w:top="720" w:right="720" w:bottom="720" w:left="720" w:header="720" w:footer="720" w:gutter="0"/>
          <w:cols w:space="720"/>
          <w:docGrid w:linePitch="360"/>
        </w:sectPr>
      </w:pPr>
      <w:r w:rsidRPr="00E617E2">
        <w:rPr>
          <w:rFonts w:ascii="Arial" w:hAnsi="Arial" w:cs="Arial"/>
          <w:color w:val="000000"/>
          <w:sz w:val="18"/>
          <w:szCs w:val="18"/>
        </w:rPr>
        <w:t xml:space="preserve">We recommend that the report evaluate risks including, but not limited to, negative effects on employee hiring and retention, as well as litigation risks from conflicting state and company antidiscrimination policies. </w:t>
      </w:r>
    </w:p>
    <w:p w14:paraId="5F7519C2" w14:textId="77777777" w:rsidR="00E617E2" w:rsidRPr="00E617E2" w:rsidRDefault="00E617E2" w:rsidP="00E617E2">
      <w:pPr>
        <w:keepNext/>
        <w:rPr>
          <w:rFonts w:ascii="Arial" w:hAnsi="Arial" w:cs="Arial"/>
          <w:sz w:val="20"/>
        </w:rPr>
      </w:pPr>
      <w:r w:rsidRPr="00E617E2">
        <w:rPr>
          <w:rFonts w:ascii="Arial" w:hAnsi="Arial" w:cs="Arial"/>
          <w:b/>
          <w:bCs/>
          <w:color w:val="0075C9"/>
          <w:sz w:val="20"/>
        </w:rPr>
        <w:lastRenderedPageBreak/>
        <w:t xml:space="preserve">Board Recommendation </w:t>
      </w:r>
    </w:p>
    <w:p w14:paraId="2A6A1A1E" w14:textId="77777777" w:rsidR="00E617E2" w:rsidRPr="00E617E2" w:rsidRDefault="00E617E2" w:rsidP="00E617E2">
      <w:pPr>
        <w:keepNext/>
        <w:spacing w:before="120"/>
        <w:rPr>
          <w:rFonts w:ascii="Arial" w:hAnsi="Arial" w:cs="Arial"/>
          <w:sz w:val="20"/>
        </w:rPr>
      </w:pPr>
      <w:r w:rsidRPr="00E617E2">
        <w:rPr>
          <w:rFonts w:ascii="Arial" w:hAnsi="Arial" w:cs="Arial"/>
          <w:b/>
          <w:bCs/>
          <w:i/>
          <w:iCs/>
          <w:color w:val="0075C9"/>
          <w:sz w:val="20"/>
        </w:rPr>
        <w:t xml:space="preserve">The Board of Directors recommends a vote AGAINST the proposal for the following reasons: </w:t>
      </w:r>
    </w:p>
    <w:p w14:paraId="4378C74A" w14:textId="77777777" w:rsidR="00E617E2" w:rsidRPr="00E617E2" w:rsidRDefault="00E617E2" w:rsidP="00E617E2">
      <w:pPr>
        <w:keepNext/>
        <w:spacing w:before="240"/>
        <w:rPr>
          <w:rFonts w:ascii="Arial" w:hAnsi="Arial" w:cs="Arial"/>
          <w:sz w:val="20"/>
        </w:rPr>
      </w:pPr>
      <w:r w:rsidRPr="00E617E2">
        <w:rPr>
          <w:rFonts w:ascii="Arial" w:hAnsi="Arial" w:cs="Arial"/>
          <w:b/>
          <w:bCs/>
          <w:sz w:val="20"/>
        </w:rPr>
        <w:t xml:space="preserve">COMPANY STATEMENT IN OPPOSITION </w:t>
      </w:r>
    </w:p>
    <w:p w14:paraId="0B824C49" w14:textId="77777777" w:rsidR="00E617E2" w:rsidRPr="00E617E2" w:rsidRDefault="00E617E2" w:rsidP="00E617E2">
      <w:pPr>
        <w:spacing w:before="80" w:after="80"/>
        <w:rPr>
          <w:rFonts w:ascii="Arial" w:hAnsi="Arial" w:cs="Arial"/>
          <w:color w:val="000000"/>
          <w:sz w:val="18"/>
          <w:szCs w:val="18"/>
          <w:shd w:val="clear" w:color="auto" w:fill="FFFFFF"/>
        </w:rPr>
      </w:pPr>
      <w:r w:rsidRPr="00E617E2">
        <w:rPr>
          <w:rFonts w:ascii="Arial" w:hAnsi="Arial" w:cs="Arial"/>
          <w:color w:val="000000"/>
          <w:sz w:val="18"/>
          <w:szCs w:val="18"/>
          <w:shd w:val="clear" w:color="auto" w:fill="FFFFFF"/>
        </w:rPr>
        <w:t>The requested report is unnecessary because of Microsoft’s existing commitments to inclusion and specific protection for diverse political affiliations under our Equal Employment Opportunity (“EEO”) Policy.</w:t>
      </w:r>
    </w:p>
    <w:p w14:paraId="20B53D4D" w14:textId="77777777" w:rsidR="00E617E2" w:rsidRPr="00E617E2" w:rsidRDefault="00E617E2" w:rsidP="00E617E2">
      <w:pPr>
        <w:spacing w:before="80" w:after="80"/>
        <w:rPr>
          <w:rFonts w:ascii="Arial" w:hAnsi="Arial" w:cs="Arial"/>
          <w:sz w:val="18"/>
          <w:szCs w:val="18"/>
        </w:rPr>
      </w:pPr>
      <w:r w:rsidRPr="00E617E2">
        <w:rPr>
          <w:rFonts w:ascii="Arial" w:hAnsi="Arial" w:cs="Arial"/>
          <w:color w:val="000000"/>
          <w:sz w:val="18"/>
          <w:szCs w:val="18"/>
          <w:shd w:val="clear" w:color="auto" w:fill="FFFFFF"/>
        </w:rPr>
        <w:t>At Microsoft, we are committed to a work environment that empowers everyone to do their best work. </w:t>
      </w:r>
      <w:r w:rsidRPr="00E617E2">
        <w:rPr>
          <w:rFonts w:ascii="Arial" w:hAnsi="Arial" w:cs="Arial"/>
          <w:sz w:val="18"/>
          <w:szCs w:val="18"/>
        </w:rPr>
        <w:t>Per Microsoft’s Standards of Business Conduct (“Trust Code”), employees are expected to treat others with dignity and respect. This Trust Code specifically prohibits harassment or discrimination on the basis of political affiliation. The Trust Code also articulates that we expect employees to resolve problems – including ideological differences - respectfully and generally </w:t>
      </w:r>
      <w:r w:rsidRPr="00E617E2">
        <w:rPr>
          <w:rFonts w:ascii="Arial" w:hAnsi="Arial" w:cs="Arial"/>
          <w:color w:val="000000"/>
          <w:sz w:val="18"/>
          <w:szCs w:val="18"/>
          <w:shd w:val="clear" w:color="auto" w:fill="FFFFFF"/>
        </w:rPr>
        <w:t>cultivate an atmosphere of mutual respect, inclusion, and collaboration. We work better together because of our differences, not despite them. We believe that we best serve everyone on the planet and enrich our own culture through the diverse skills, experiences, and backgrounds that each of us brings. </w:t>
      </w:r>
    </w:p>
    <w:p w14:paraId="63FD6FF6" w14:textId="77777777" w:rsidR="00E617E2" w:rsidRPr="00E617E2" w:rsidRDefault="00E617E2" w:rsidP="00E617E2">
      <w:pPr>
        <w:spacing w:before="160" w:after="80"/>
        <w:rPr>
          <w:rFonts w:ascii="Arial" w:hAnsi="Arial" w:cs="Arial"/>
          <w:b/>
          <w:bCs/>
          <w:sz w:val="18"/>
          <w:szCs w:val="18"/>
        </w:rPr>
      </w:pPr>
      <w:r w:rsidRPr="00E617E2">
        <w:rPr>
          <w:rFonts w:ascii="Arial" w:hAnsi="Arial" w:cs="Arial"/>
          <w:b/>
          <w:bCs/>
          <w:color w:val="000000"/>
          <w:sz w:val="18"/>
          <w:szCs w:val="18"/>
          <w:shd w:val="clear" w:color="auto" w:fill="FFFFFF"/>
        </w:rPr>
        <w:t>Microsoft’s EEO Policy prohibits discrimination and harassment based on political affiliation.</w:t>
      </w:r>
    </w:p>
    <w:p w14:paraId="0CBD2B07" w14:textId="77777777" w:rsidR="00E617E2" w:rsidRPr="00E617E2" w:rsidRDefault="00E617E2" w:rsidP="00E617E2">
      <w:pPr>
        <w:spacing w:before="80" w:after="80"/>
        <w:rPr>
          <w:rFonts w:ascii="Arial" w:hAnsi="Arial" w:cs="Arial"/>
          <w:sz w:val="18"/>
          <w:szCs w:val="18"/>
        </w:rPr>
      </w:pPr>
      <w:r w:rsidRPr="00E617E2">
        <w:rPr>
          <w:rFonts w:ascii="Arial" w:hAnsi="Arial" w:cs="Arial"/>
          <w:sz w:val="18"/>
          <w:szCs w:val="18"/>
        </w:rPr>
        <w:t>Under Microsoft’s EEO Policy, prohibited harassment based on political affiliation may include conduct such as:</w:t>
      </w:r>
    </w:p>
    <w:p w14:paraId="50286C48" w14:textId="77777777" w:rsidR="00E617E2" w:rsidRPr="00E617E2" w:rsidRDefault="00E617E2" w:rsidP="00E617E2">
      <w:pPr>
        <w:numPr>
          <w:ilvl w:val="0"/>
          <w:numId w:val="2"/>
        </w:numPr>
        <w:spacing w:after="36" w:line="249" w:lineRule="auto"/>
        <w:ind w:left="180" w:hanging="180"/>
        <w:rPr>
          <w:rFonts w:ascii="Arial" w:hAnsi="Arial" w:cs="Arial"/>
          <w:color w:val="000000"/>
          <w:sz w:val="18"/>
          <w:szCs w:val="18"/>
        </w:rPr>
      </w:pPr>
      <w:r w:rsidRPr="00E617E2">
        <w:rPr>
          <w:rFonts w:ascii="Arial" w:hAnsi="Arial" w:cs="Arial"/>
          <w:color w:val="000000"/>
          <w:sz w:val="18"/>
          <w:szCs w:val="18"/>
        </w:rPr>
        <w:t>Inappropriate/derogatory comments, slurs, epithets, jokes, or pranks.</w:t>
      </w:r>
    </w:p>
    <w:p w14:paraId="39CEDD99" w14:textId="77777777" w:rsidR="00E617E2" w:rsidRPr="00E617E2" w:rsidRDefault="00E617E2" w:rsidP="00E617E2">
      <w:pPr>
        <w:numPr>
          <w:ilvl w:val="0"/>
          <w:numId w:val="2"/>
        </w:numPr>
        <w:spacing w:after="36" w:line="249" w:lineRule="auto"/>
        <w:ind w:left="180" w:hanging="180"/>
        <w:rPr>
          <w:rFonts w:ascii="Arial" w:hAnsi="Arial" w:cs="Arial"/>
          <w:color w:val="000000"/>
          <w:sz w:val="18"/>
          <w:szCs w:val="18"/>
        </w:rPr>
      </w:pPr>
      <w:r w:rsidRPr="00E617E2">
        <w:rPr>
          <w:rFonts w:ascii="Arial" w:hAnsi="Arial" w:cs="Arial"/>
          <w:color w:val="000000"/>
          <w:sz w:val="18"/>
          <w:szCs w:val="18"/>
        </w:rPr>
        <w:t>Threatening, intimidating, or hostile acts.</w:t>
      </w:r>
    </w:p>
    <w:p w14:paraId="50180F72" w14:textId="77777777" w:rsidR="00E617E2" w:rsidRPr="00E617E2" w:rsidRDefault="00E617E2" w:rsidP="00E617E2">
      <w:pPr>
        <w:numPr>
          <w:ilvl w:val="0"/>
          <w:numId w:val="2"/>
        </w:numPr>
        <w:spacing w:after="36" w:line="249" w:lineRule="auto"/>
        <w:ind w:left="180" w:hanging="180"/>
        <w:rPr>
          <w:rFonts w:ascii="Arial" w:hAnsi="Arial" w:cs="Arial"/>
          <w:color w:val="000000"/>
          <w:sz w:val="18"/>
          <w:szCs w:val="18"/>
        </w:rPr>
      </w:pPr>
      <w:r w:rsidRPr="00E617E2">
        <w:rPr>
          <w:rFonts w:ascii="Arial" w:hAnsi="Arial" w:cs="Arial"/>
          <w:color w:val="000000"/>
          <w:sz w:val="18"/>
          <w:szCs w:val="18"/>
        </w:rPr>
        <w:t>Unnecessary or unwanted bodily contact such as blocking normal movement, or physically interfering with the work of another individual.</w:t>
      </w:r>
    </w:p>
    <w:p w14:paraId="46157296" w14:textId="77777777" w:rsidR="00E617E2" w:rsidRPr="00E617E2" w:rsidRDefault="00E617E2" w:rsidP="00E617E2">
      <w:pPr>
        <w:numPr>
          <w:ilvl w:val="0"/>
          <w:numId w:val="2"/>
        </w:numPr>
        <w:spacing w:after="36" w:line="249" w:lineRule="auto"/>
        <w:ind w:left="180" w:hanging="180"/>
        <w:rPr>
          <w:rFonts w:ascii="Arial" w:hAnsi="Arial" w:cs="Arial"/>
          <w:color w:val="000000"/>
          <w:sz w:val="18"/>
          <w:szCs w:val="18"/>
        </w:rPr>
      </w:pPr>
      <w:r w:rsidRPr="00E617E2">
        <w:rPr>
          <w:rFonts w:ascii="Arial" w:hAnsi="Arial" w:cs="Arial"/>
          <w:color w:val="000000"/>
          <w:sz w:val="18"/>
          <w:szCs w:val="18"/>
        </w:rPr>
        <w:t>Sharing or displaying of degrading or derogatory content and/or symbols.</w:t>
      </w:r>
    </w:p>
    <w:p w14:paraId="3FD9CD18" w14:textId="77777777" w:rsidR="00E617E2" w:rsidRPr="00E617E2" w:rsidRDefault="00E617E2" w:rsidP="00E617E2">
      <w:pPr>
        <w:numPr>
          <w:ilvl w:val="0"/>
          <w:numId w:val="2"/>
        </w:numPr>
        <w:spacing w:after="36" w:line="249" w:lineRule="auto"/>
        <w:ind w:left="180" w:hanging="180"/>
        <w:rPr>
          <w:rFonts w:ascii="Arial" w:hAnsi="Arial" w:cs="Arial"/>
          <w:color w:val="242424"/>
          <w:sz w:val="18"/>
          <w:szCs w:val="18"/>
        </w:rPr>
      </w:pPr>
      <w:r w:rsidRPr="00E617E2">
        <w:rPr>
          <w:rFonts w:ascii="Arial" w:hAnsi="Arial" w:cs="Arial"/>
          <w:color w:val="000000"/>
          <w:sz w:val="18"/>
          <w:szCs w:val="18"/>
        </w:rPr>
        <w:t>Bullying behavior.</w:t>
      </w:r>
    </w:p>
    <w:p w14:paraId="219DDB13" w14:textId="77777777" w:rsidR="00E617E2" w:rsidRPr="00E617E2" w:rsidRDefault="00E617E2" w:rsidP="00E617E2">
      <w:pPr>
        <w:spacing w:before="120" w:after="80"/>
        <w:rPr>
          <w:rFonts w:ascii="Arial" w:hAnsi="Arial" w:cs="Arial"/>
          <w:sz w:val="18"/>
          <w:szCs w:val="18"/>
        </w:rPr>
      </w:pPr>
      <w:r w:rsidRPr="00E617E2">
        <w:rPr>
          <w:rFonts w:ascii="Arial" w:hAnsi="Arial" w:cs="Arial"/>
          <w:sz w:val="18"/>
          <w:szCs w:val="18"/>
        </w:rPr>
        <w:t>Prohibited discrimination based on political affiliation may include conduct such as:</w:t>
      </w:r>
    </w:p>
    <w:p w14:paraId="3FEA3B13" w14:textId="77777777" w:rsidR="00E617E2" w:rsidRPr="00E617E2" w:rsidRDefault="00E617E2" w:rsidP="00E617E2">
      <w:pPr>
        <w:numPr>
          <w:ilvl w:val="0"/>
          <w:numId w:val="2"/>
        </w:numPr>
        <w:spacing w:after="36" w:line="249" w:lineRule="auto"/>
        <w:ind w:left="180" w:hanging="180"/>
        <w:rPr>
          <w:rFonts w:ascii="Arial" w:hAnsi="Arial" w:cs="Arial"/>
          <w:color w:val="000000"/>
          <w:sz w:val="18"/>
          <w:szCs w:val="18"/>
        </w:rPr>
      </w:pPr>
      <w:r w:rsidRPr="00E617E2">
        <w:rPr>
          <w:rFonts w:ascii="Arial" w:hAnsi="Arial" w:cs="Arial"/>
          <w:color w:val="000000"/>
          <w:sz w:val="18"/>
          <w:szCs w:val="18"/>
        </w:rPr>
        <w:t>Treating someone differently, or less favorably, with respect to recruitment, hiring, placement, compensation, benefits, advancement, promotion, evaluation, disciplinary action, termination or any other term, condition or privilege of employment. </w:t>
      </w:r>
    </w:p>
    <w:p w14:paraId="17E91335" w14:textId="77777777" w:rsidR="00E617E2" w:rsidRPr="00E617E2" w:rsidRDefault="00E617E2" w:rsidP="00E617E2">
      <w:pPr>
        <w:numPr>
          <w:ilvl w:val="0"/>
          <w:numId w:val="2"/>
        </w:numPr>
        <w:spacing w:after="36" w:line="249" w:lineRule="auto"/>
        <w:ind w:left="180" w:hanging="180"/>
        <w:rPr>
          <w:rFonts w:ascii="Arial" w:hAnsi="Arial" w:cs="Arial"/>
          <w:color w:val="000000"/>
          <w:sz w:val="18"/>
          <w:szCs w:val="18"/>
        </w:rPr>
      </w:pPr>
      <w:r w:rsidRPr="00E617E2">
        <w:rPr>
          <w:rFonts w:ascii="Arial" w:hAnsi="Arial" w:cs="Arial"/>
          <w:color w:val="000000"/>
          <w:sz w:val="18"/>
          <w:szCs w:val="18"/>
        </w:rPr>
        <w:t>Making employment decisions based on stereotypes (unfair or untrue beliefs) about abilities and traits associated with political affiliation.</w:t>
      </w:r>
    </w:p>
    <w:p w14:paraId="6392A0C8" w14:textId="77777777" w:rsidR="00E617E2" w:rsidRPr="00E617E2" w:rsidRDefault="00E617E2" w:rsidP="00E617E2">
      <w:pPr>
        <w:numPr>
          <w:ilvl w:val="0"/>
          <w:numId w:val="2"/>
        </w:numPr>
        <w:spacing w:after="36" w:line="249" w:lineRule="auto"/>
        <w:ind w:left="180" w:hanging="180"/>
        <w:rPr>
          <w:rFonts w:ascii="Arial" w:hAnsi="Arial" w:cs="Arial"/>
          <w:b/>
          <w:bCs/>
          <w:color w:val="242424"/>
          <w:sz w:val="18"/>
          <w:szCs w:val="18"/>
        </w:rPr>
      </w:pPr>
      <w:r w:rsidRPr="00E617E2">
        <w:rPr>
          <w:rFonts w:ascii="Arial" w:hAnsi="Arial" w:cs="Arial"/>
          <w:color w:val="000000"/>
          <w:sz w:val="18"/>
          <w:szCs w:val="18"/>
        </w:rPr>
        <w:t>Giving negative performance feedback.</w:t>
      </w:r>
    </w:p>
    <w:p w14:paraId="0B2F1245" w14:textId="77777777" w:rsidR="00E617E2" w:rsidRPr="00E617E2" w:rsidRDefault="00E617E2" w:rsidP="00E617E2">
      <w:pPr>
        <w:shd w:val="clear" w:color="auto" w:fill="FFFFFF"/>
        <w:spacing w:before="160" w:after="80"/>
        <w:rPr>
          <w:rFonts w:ascii="Arial" w:hAnsi="Arial" w:cs="Arial"/>
          <w:b/>
          <w:bCs/>
          <w:color w:val="242424"/>
          <w:sz w:val="18"/>
          <w:szCs w:val="18"/>
        </w:rPr>
      </w:pPr>
      <w:r w:rsidRPr="00E617E2">
        <w:rPr>
          <w:rFonts w:ascii="Arial" w:hAnsi="Arial" w:cs="Arial"/>
          <w:b/>
          <w:bCs/>
          <w:color w:val="242424"/>
          <w:sz w:val="18"/>
          <w:szCs w:val="18"/>
        </w:rPr>
        <w:t>Microsoft expects employees to treat each other with dignity and respect, including when addressing any ideological differences, and investigates and addresses complaints.</w:t>
      </w:r>
    </w:p>
    <w:p w14:paraId="27DC8CFA" w14:textId="77777777" w:rsidR="00E617E2" w:rsidRPr="00E617E2" w:rsidRDefault="00E617E2" w:rsidP="00E617E2">
      <w:pPr>
        <w:numPr>
          <w:ilvl w:val="0"/>
          <w:numId w:val="2"/>
        </w:numPr>
        <w:spacing w:after="36" w:line="249" w:lineRule="auto"/>
        <w:ind w:left="180" w:hanging="180"/>
        <w:rPr>
          <w:rFonts w:ascii="Arial" w:hAnsi="Arial" w:cs="Arial"/>
          <w:color w:val="000000"/>
          <w:sz w:val="18"/>
          <w:szCs w:val="18"/>
        </w:rPr>
      </w:pPr>
      <w:r w:rsidRPr="00E617E2">
        <w:rPr>
          <w:rFonts w:ascii="Arial" w:hAnsi="Arial" w:cs="Arial"/>
          <w:color w:val="000000"/>
          <w:sz w:val="18"/>
          <w:szCs w:val="18"/>
        </w:rPr>
        <w:t xml:space="preserve">Per Microsoft’s standards of business conduct, employees are expected to treat others with dignity and respect. Microsoft provides training on harassment and discrimination issues, including information on how to report concerns through annually required Standards of Business Conduct Training and other available </w:t>
      </w:r>
      <w:proofErr w:type="gramStart"/>
      <w:r w:rsidRPr="00E617E2">
        <w:rPr>
          <w:rFonts w:ascii="Arial" w:hAnsi="Arial" w:cs="Arial"/>
          <w:color w:val="000000"/>
          <w:sz w:val="18"/>
          <w:szCs w:val="18"/>
        </w:rPr>
        <w:t>trainings</w:t>
      </w:r>
      <w:proofErr w:type="gramEnd"/>
      <w:r w:rsidRPr="00E617E2">
        <w:rPr>
          <w:rFonts w:ascii="Arial" w:hAnsi="Arial" w:cs="Arial"/>
          <w:color w:val="000000"/>
          <w:sz w:val="18"/>
          <w:szCs w:val="18"/>
        </w:rPr>
        <w:t xml:space="preserve">. </w:t>
      </w:r>
    </w:p>
    <w:p w14:paraId="5319173B" w14:textId="77777777" w:rsidR="00E617E2" w:rsidRPr="00E617E2" w:rsidRDefault="00E617E2" w:rsidP="00E617E2">
      <w:pPr>
        <w:numPr>
          <w:ilvl w:val="0"/>
          <w:numId w:val="2"/>
        </w:numPr>
        <w:spacing w:after="36" w:line="249" w:lineRule="auto"/>
        <w:ind w:left="180" w:hanging="180"/>
        <w:rPr>
          <w:rFonts w:ascii="Arial" w:hAnsi="Arial" w:cs="Arial"/>
          <w:color w:val="000000"/>
          <w:sz w:val="18"/>
          <w:szCs w:val="18"/>
        </w:rPr>
      </w:pPr>
      <w:r w:rsidRPr="00E617E2">
        <w:rPr>
          <w:rFonts w:ascii="Arial" w:hAnsi="Arial" w:cs="Arial"/>
          <w:color w:val="000000"/>
          <w:sz w:val="18"/>
          <w:szCs w:val="18"/>
        </w:rPr>
        <w:t xml:space="preserve">Employees who have experienced and/or witnessed behaviors that could be harassment or discrimination are encouraged to promptly report the behavior through one or more of several channels, including anonymous channels. We have strong anti-retaliation policies and practices in place to protect employees who report a concern and those who provide information in an investigation. </w:t>
      </w:r>
    </w:p>
    <w:p w14:paraId="049D060F" w14:textId="77777777" w:rsidR="00E617E2" w:rsidRPr="00E617E2" w:rsidRDefault="00E617E2" w:rsidP="00E617E2">
      <w:pPr>
        <w:numPr>
          <w:ilvl w:val="0"/>
          <w:numId w:val="2"/>
        </w:numPr>
        <w:spacing w:after="36" w:line="249" w:lineRule="auto"/>
        <w:ind w:left="180" w:hanging="180"/>
        <w:rPr>
          <w:rFonts w:ascii="Arial" w:hAnsi="Arial" w:cs="Arial"/>
          <w:color w:val="000000"/>
          <w:sz w:val="18"/>
          <w:szCs w:val="18"/>
        </w:rPr>
      </w:pPr>
      <w:r w:rsidRPr="00E617E2">
        <w:rPr>
          <w:rFonts w:ascii="Arial" w:hAnsi="Arial" w:cs="Arial"/>
          <w:color w:val="000000"/>
          <w:sz w:val="18"/>
          <w:szCs w:val="18"/>
        </w:rPr>
        <w:t xml:space="preserve">Microsoft takes all employee concerns seriously. Microsoft investigates complaints of harassment and discrimination, in a fair, timely, and thorough manner through a dedicated Workplace Investigations Team (WIT). WIT is part of the Compliance &amp; Ethics Team within Corporate, External and Legal Affairs. WIT reviews relevant information and reaches reasonable conclusions based on the evidence. Microsoft will take appropriate </w:t>
      </w:r>
      <w:proofErr w:type="gramStart"/>
      <w:r w:rsidRPr="00E617E2">
        <w:rPr>
          <w:rFonts w:ascii="Arial" w:hAnsi="Arial" w:cs="Arial"/>
          <w:color w:val="000000"/>
          <w:sz w:val="18"/>
          <w:szCs w:val="18"/>
        </w:rPr>
        <w:t>disciplinary</w:t>
      </w:r>
      <w:proofErr w:type="gramEnd"/>
      <w:r w:rsidRPr="00E617E2">
        <w:rPr>
          <w:rFonts w:ascii="Arial" w:hAnsi="Arial" w:cs="Arial"/>
          <w:color w:val="000000"/>
          <w:sz w:val="18"/>
          <w:szCs w:val="18"/>
        </w:rPr>
        <w:t xml:space="preserve"> and/or other appropriate action when it determines the EEO Policy has been violated.  </w:t>
      </w:r>
    </w:p>
    <w:p w14:paraId="16FE15D7" w14:textId="77777777" w:rsidR="00E617E2" w:rsidRPr="00E617E2" w:rsidRDefault="00E617E2" w:rsidP="00E617E2">
      <w:pPr>
        <w:numPr>
          <w:ilvl w:val="0"/>
          <w:numId w:val="2"/>
        </w:numPr>
        <w:spacing w:after="36" w:line="249" w:lineRule="auto"/>
        <w:ind w:left="180" w:hanging="180"/>
        <w:rPr>
          <w:rFonts w:ascii="Arial" w:hAnsi="Arial" w:cs="Arial"/>
          <w:color w:val="000000"/>
          <w:sz w:val="18"/>
          <w:szCs w:val="18"/>
        </w:rPr>
      </w:pPr>
      <w:r w:rsidRPr="00E617E2">
        <w:rPr>
          <w:rFonts w:ascii="Arial" w:hAnsi="Arial" w:cs="Arial"/>
          <w:color w:val="000000"/>
          <w:sz w:val="18"/>
          <w:szCs w:val="18"/>
        </w:rPr>
        <w:t xml:space="preserve">In addition, Human Resources has a dedicated team, called Global Employee Relations (GER), who review and investigate employee concerns or behaviors that may fall outside Microsoft’s EEO Policy but are inconsistent with our </w:t>
      </w:r>
      <w:proofErr w:type="gramStart"/>
      <w:r w:rsidRPr="00E617E2">
        <w:rPr>
          <w:rFonts w:ascii="Arial" w:hAnsi="Arial" w:cs="Arial"/>
          <w:color w:val="000000"/>
          <w:sz w:val="18"/>
          <w:szCs w:val="18"/>
        </w:rPr>
        <w:t>aspire</w:t>
      </w:r>
      <w:proofErr w:type="gramEnd"/>
      <w:r w:rsidRPr="00E617E2">
        <w:rPr>
          <w:rFonts w:ascii="Arial" w:hAnsi="Arial" w:cs="Arial"/>
          <w:color w:val="000000"/>
          <w:sz w:val="18"/>
          <w:szCs w:val="18"/>
        </w:rPr>
        <w:t xml:space="preserve">-to culture. Like all concerns of harassment or discrimination, these concerns are investigated in a fair, timely, and thorough manner. GER reviews relevant information and reaches reasonable conclusions based on the evidence. Microsoft will take appropriate </w:t>
      </w:r>
      <w:proofErr w:type="gramStart"/>
      <w:r w:rsidRPr="00E617E2">
        <w:rPr>
          <w:rFonts w:ascii="Arial" w:hAnsi="Arial" w:cs="Arial"/>
          <w:color w:val="000000"/>
          <w:sz w:val="18"/>
          <w:szCs w:val="18"/>
        </w:rPr>
        <w:t>disciplinary</w:t>
      </w:r>
      <w:proofErr w:type="gramEnd"/>
      <w:r w:rsidRPr="00E617E2">
        <w:rPr>
          <w:rFonts w:ascii="Arial" w:hAnsi="Arial" w:cs="Arial"/>
          <w:color w:val="000000"/>
          <w:sz w:val="18"/>
          <w:szCs w:val="18"/>
        </w:rPr>
        <w:t xml:space="preserve"> and/or other appropriate action when it determines a violation of its’ standards of business conduct has occurred.</w:t>
      </w:r>
    </w:p>
    <w:p w14:paraId="2C9888E9" w14:textId="77777777" w:rsidR="00E617E2" w:rsidRPr="00E617E2" w:rsidRDefault="00E617E2" w:rsidP="00E617E2">
      <w:pPr>
        <w:shd w:val="clear" w:color="auto" w:fill="FFFFFF"/>
        <w:spacing w:before="100" w:beforeAutospacing="1" w:after="100" w:afterAutospacing="1"/>
        <w:ind w:left="360"/>
        <w:rPr>
          <w:rFonts w:ascii="Arial" w:hAnsi="Arial" w:cs="Arial"/>
          <w:color w:val="242424"/>
          <w:sz w:val="20"/>
        </w:rPr>
        <w:sectPr w:rsidR="00E617E2" w:rsidRPr="00E617E2" w:rsidSect="004929E2">
          <w:footnotePr>
            <w:numRestart w:val="eachSect"/>
          </w:footnotePr>
          <w:pgSz w:w="12240" w:h="15840"/>
          <w:pgMar w:top="720" w:right="720" w:bottom="720" w:left="720" w:header="720" w:footer="720" w:gutter="0"/>
          <w:cols w:space="720"/>
          <w:docGrid w:linePitch="360"/>
        </w:sectPr>
      </w:pPr>
    </w:p>
    <w:p w14:paraId="72C92823" w14:textId="77777777" w:rsidR="00E617E2" w:rsidRPr="00E617E2" w:rsidRDefault="00E617E2" w:rsidP="00E617E2">
      <w:pPr>
        <w:spacing w:after="80"/>
        <w:ind w:left="14"/>
        <w:rPr>
          <w:rFonts w:ascii="Arial" w:hAnsi="Arial" w:cs="Arial"/>
          <w:b/>
          <w:bCs/>
          <w:szCs w:val="24"/>
        </w:rPr>
      </w:pPr>
      <w:r w:rsidRPr="00E617E2">
        <w:rPr>
          <w:rFonts w:ascii="Arial" w:hAnsi="Arial" w:cs="Arial"/>
          <w:b/>
          <w:bCs/>
          <w:szCs w:val="24"/>
        </w:rPr>
        <w:lastRenderedPageBreak/>
        <w:t>Proposal 7: Report on Government Takedown Requests (Shareholder Proposal)</w:t>
      </w:r>
    </w:p>
    <w:p w14:paraId="2A15AA39" w14:textId="77777777" w:rsidR="00E617E2" w:rsidRPr="00E617E2" w:rsidRDefault="00E617E2" w:rsidP="00E617E2">
      <w:pPr>
        <w:spacing w:after="240"/>
        <w:ind w:left="14"/>
        <w:rPr>
          <w:rFonts w:ascii="Arial" w:hAnsi="Arial" w:cs="Arial"/>
          <w:sz w:val="18"/>
          <w:szCs w:val="18"/>
        </w:rPr>
      </w:pPr>
      <w:r w:rsidRPr="00E617E2">
        <w:rPr>
          <w:rFonts w:ascii="Arial" w:hAnsi="Arial" w:cs="Arial"/>
          <w:sz w:val="18"/>
          <w:szCs w:val="18"/>
        </w:rPr>
        <w:t>Individual shareholder Martin Matthew Guldner has advised us that he intends to submit the following proposal for consideration at the Annual Meeting.</w:t>
      </w:r>
    </w:p>
    <w:p w14:paraId="1C300894" w14:textId="77777777" w:rsidR="00E617E2" w:rsidRPr="00E617E2" w:rsidRDefault="00E617E2" w:rsidP="00E617E2">
      <w:pPr>
        <w:spacing w:after="80"/>
        <w:ind w:left="-4"/>
        <w:rPr>
          <w:rFonts w:ascii="Arial" w:hAnsi="Arial" w:cs="Arial"/>
          <w:b/>
          <w:bCs/>
          <w:sz w:val="18"/>
          <w:szCs w:val="18"/>
        </w:rPr>
      </w:pPr>
      <w:r w:rsidRPr="00E617E2">
        <w:rPr>
          <w:rFonts w:ascii="Arial" w:hAnsi="Arial" w:cs="Arial"/>
          <w:b/>
          <w:bCs/>
          <w:sz w:val="18"/>
          <w:szCs w:val="18"/>
        </w:rPr>
        <w:t xml:space="preserve">Report on Government Take-Down Requests  </w:t>
      </w:r>
    </w:p>
    <w:p w14:paraId="79C5CE42" w14:textId="77777777" w:rsidR="00E617E2" w:rsidRPr="00E617E2" w:rsidRDefault="00E617E2" w:rsidP="00E617E2">
      <w:pPr>
        <w:spacing w:after="80"/>
        <w:ind w:left="-4"/>
        <w:rPr>
          <w:rFonts w:ascii="Arial" w:hAnsi="Arial" w:cs="Arial"/>
          <w:color w:val="000000" w:themeColor="text1"/>
          <w:sz w:val="18"/>
          <w:szCs w:val="18"/>
        </w:rPr>
      </w:pPr>
      <w:r w:rsidRPr="00E617E2">
        <w:rPr>
          <w:rFonts w:ascii="Arial" w:hAnsi="Arial" w:cs="Arial"/>
          <w:color w:val="000000" w:themeColor="text1"/>
          <w:sz w:val="18"/>
          <w:szCs w:val="18"/>
        </w:rPr>
        <w:t xml:space="preserve">RESOLVED: Shareholders request that Microsoft Inc. (“Company”) provide a report, published on the company’s website and updated semi-annually – and omitting proprietary information and at reasonable cost – that specifies the Company’s policy in responding to requests to remove or take down content, or content-producing entities, from LinkedIn or other platforms by the Executive Office of the President, Members of Congress, or any other agency or entity of the United States Government.  </w:t>
      </w:r>
    </w:p>
    <w:p w14:paraId="3486B888" w14:textId="77777777" w:rsidR="00E617E2" w:rsidRPr="00E617E2" w:rsidRDefault="00E617E2" w:rsidP="00E617E2">
      <w:pPr>
        <w:spacing w:after="80"/>
        <w:ind w:left="-4"/>
        <w:rPr>
          <w:rFonts w:ascii="Arial" w:hAnsi="Arial" w:cs="Arial"/>
          <w:color w:val="000000" w:themeColor="text1"/>
          <w:sz w:val="18"/>
          <w:szCs w:val="18"/>
        </w:rPr>
      </w:pPr>
      <w:r w:rsidRPr="00E617E2">
        <w:rPr>
          <w:rFonts w:ascii="Arial" w:hAnsi="Arial" w:cs="Arial"/>
          <w:color w:val="000000" w:themeColor="text1"/>
          <w:sz w:val="18"/>
          <w:szCs w:val="18"/>
        </w:rPr>
        <w:t xml:space="preserve">This report shall also include an itemized listing of such take-down requests, including the name and title of the official making the request; the nature and scope of the request; the date of the request; the outcome of the request; and a reason or rationale for the Company’s response, or lack thereof.  </w:t>
      </w:r>
    </w:p>
    <w:p w14:paraId="2F620B4E" w14:textId="77777777" w:rsidR="00E617E2" w:rsidRPr="00E617E2" w:rsidRDefault="00E617E2" w:rsidP="00E617E2">
      <w:pPr>
        <w:spacing w:after="80"/>
        <w:ind w:left="-4"/>
        <w:rPr>
          <w:rFonts w:ascii="Arial" w:hAnsi="Arial" w:cs="Arial"/>
          <w:color w:val="000000" w:themeColor="text1"/>
          <w:sz w:val="18"/>
          <w:szCs w:val="18"/>
        </w:rPr>
      </w:pPr>
      <w:r w:rsidRPr="00E617E2">
        <w:rPr>
          <w:rFonts w:ascii="Arial" w:hAnsi="Arial" w:cs="Arial"/>
          <w:color w:val="000000" w:themeColor="text1"/>
          <w:sz w:val="18"/>
          <w:szCs w:val="18"/>
        </w:rPr>
        <w:t xml:space="preserve">SUPPORTING STATEMENT: In Bantam Books, Inc. vs. Sullivan (1963), and in other cases, the Supreme Court of the United States has ruled that private entities may not engage in suppression of speech at the behest of government, as it has the same effect as direct government censorship.  </w:t>
      </w:r>
    </w:p>
    <w:p w14:paraId="5F587744" w14:textId="77777777" w:rsidR="00E617E2" w:rsidRPr="00E617E2" w:rsidRDefault="00E617E2" w:rsidP="00E617E2">
      <w:pPr>
        <w:spacing w:after="80"/>
        <w:ind w:left="-4"/>
        <w:rPr>
          <w:rFonts w:ascii="Arial" w:hAnsi="Arial" w:cs="Arial"/>
          <w:color w:val="000000" w:themeColor="text1"/>
          <w:sz w:val="18"/>
          <w:szCs w:val="18"/>
        </w:rPr>
      </w:pPr>
      <w:r w:rsidRPr="00E617E2">
        <w:rPr>
          <w:rFonts w:ascii="Arial" w:hAnsi="Arial" w:cs="Arial"/>
          <w:color w:val="000000" w:themeColor="text1"/>
          <w:sz w:val="18"/>
          <w:szCs w:val="18"/>
        </w:rPr>
        <w:t xml:space="preserve">On July 15, 2021, White House press secretary Jen Psaki was asked, “Can you talk a little bit more about this request for tech companies to be more aggressive in policing misinformation? Has the administration been in touch with any of these companies and are there any actions that the federal government can take to ensure their cooperation, because we’ve seen, from the start, there’s not a lot of action on some of these platforms.”  </w:t>
      </w:r>
    </w:p>
    <w:p w14:paraId="5FE453ED" w14:textId="77777777" w:rsidR="00E617E2" w:rsidRPr="00E617E2" w:rsidRDefault="00E617E2" w:rsidP="00E617E2">
      <w:pPr>
        <w:spacing w:after="80"/>
        <w:ind w:left="-4"/>
        <w:rPr>
          <w:rFonts w:ascii="Arial" w:hAnsi="Arial" w:cs="Arial"/>
          <w:color w:val="000000" w:themeColor="text1"/>
          <w:sz w:val="18"/>
          <w:szCs w:val="18"/>
        </w:rPr>
      </w:pPr>
      <w:r w:rsidRPr="00E617E2">
        <w:rPr>
          <w:rFonts w:ascii="Arial" w:hAnsi="Arial" w:cs="Arial"/>
          <w:color w:val="000000" w:themeColor="text1"/>
          <w:sz w:val="18"/>
          <w:szCs w:val="18"/>
        </w:rPr>
        <w:t xml:space="preserve">Psaki replied, “Sure. Well, first, we are in regular touch with these social media platforms, and those engagements typically happen through members of our senior staff, but also members of our COVID-19 team, given, as (Surgeon General) Dr. (Vivek) Murthy conveyed, this is a big issue of misinformation, specifically on the pandemic.”  </w:t>
      </w:r>
    </w:p>
    <w:p w14:paraId="55749E56" w14:textId="77777777" w:rsidR="00E617E2" w:rsidRPr="00E617E2" w:rsidRDefault="00E617E2" w:rsidP="00E617E2">
      <w:pPr>
        <w:spacing w:after="80"/>
        <w:ind w:left="-4"/>
        <w:rPr>
          <w:rFonts w:ascii="Arial" w:hAnsi="Arial" w:cs="Arial"/>
          <w:color w:val="000000" w:themeColor="text1"/>
          <w:sz w:val="18"/>
          <w:szCs w:val="18"/>
        </w:rPr>
      </w:pPr>
      <w:r w:rsidRPr="00E617E2">
        <w:rPr>
          <w:rFonts w:ascii="Arial" w:hAnsi="Arial" w:cs="Arial"/>
          <w:color w:val="000000" w:themeColor="text1"/>
          <w:sz w:val="18"/>
          <w:szCs w:val="18"/>
        </w:rPr>
        <w:t xml:space="preserve">Circumstantial evidence shows that the Company may have been the recipient of overtures, possibly </w:t>
      </w:r>
      <w:proofErr w:type="gramStart"/>
      <w:r w:rsidRPr="00E617E2">
        <w:rPr>
          <w:rFonts w:ascii="Arial" w:hAnsi="Arial" w:cs="Arial"/>
          <w:color w:val="000000" w:themeColor="text1"/>
          <w:sz w:val="18"/>
          <w:szCs w:val="18"/>
        </w:rPr>
        <w:t>from government,</w:t>
      </w:r>
      <w:proofErr w:type="gramEnd"/>
      <w:r w:rsidRPr="00E617E2">
        <w:rPr>
          <w:rFonts w:ascii="Arial" w:hAnsi="Arial" w:cs="Arial"/>
          <w:color w:val="000000" w:themeColor="text1"/>
          <w:sz w:val="18"/>
          <w:szCs w:val="18"/>
        </w:rPr>
        <w:t xml:space="preserve"> to censor. For example:  </w:t>
      </w:r>
    </w:p>
    <w:p w14:paraId="75EB3104" w14:textId="77777777" w:rsidR="00E617E2" w:rsidRPr="00E617E2" w:rsidRDefault="00E617E2" w:rsidP="00E617E2">
      <w:pPr>
        <w:spacing w:after="80"/>
        <w:ind w:left="-4"/>
        <w:rPr>
          <w:rFonts w:ascii="Arial" w:hAnsi="Arial" w:cs="Arial"/>
          <w:color w:val="000000" w:themeColor="text1"/>
          <w:sz w:val="18"/>
          <w:szCs w:val="18"/>
        </w:rPr>
      </w:pPr>
      <w:r w:rsidRPr="00E617E2">
        <w:rPr>
          <w:rFonts w:ascii="Arial" w:eastAsia="Arial" w:hAnsi="Arial" w:cs="Arial"/>
          <w:i/>
          <w:color w:val="000000" w:themeColor="text1"/>
          <w:sz w:val="18"/>
          <w:szCs w:val="18"/>
        </w:rPr>
        <w:t>Missouri v. Biden</w:t>
      </w:r>
      <w:r w:rsidRPr="00E617E2">
        <w:rPr>
          <w:rFonts w:ascii="Arial" w:hAnsi="Arial" w:cs="Arial"/>
          <w:color w:val="000000" w:themeColor="text1"/>
          <w:sz w:val="18"/>
          <w:szCs w:val="18"/>
        </w:rPr>
        <w:t xml:space="preserve"> was filed by the attorneys general of Missouri and Louisiana on May 5, 2022. </w:t>
      </w:r>
    </w:p>
    <w:p w14:paraId="5AC4563F" w14:textId="77777777" w:rsidR="00E617E2" w:rsidRPr="00E617E2" w:rsidRDefault="00E617E2" w:rsidP="00E617E2">
      <w:pPr>
        <w:spacing w:after="80"/>
        <w:ind w:left="-4"/>
        <w:rPr>
          <w:rFonts w:ascii="Arial" w:hAnsi="Arial" w:cs="Arial"/>
          <w:color w:val="000000" w:themeColor="text1"/>
          <w:sz w:val="18"/>
          <w:szCs w:val="18"/>
        </w:rPr>
      </w:pPr>
      <w:r w:rsidRPr="00E617E2">
        <w:rPr>
          <w:rFonts w:ascii="Arial" w:hAnsi="Arial" w:cs="Arial"/>
          <w:color w:val="000000" w:themeColor="text1"/>
          <w:sz w:val="18"/>
          <w:szCs w:val="18"/>
        </w:rPr>
        <w:t>A later motion for preliminary injunction highlights 1,432 facts showing that top officials in the federal government are coercing and colluding with big tech social media companies to censor free speech.</w:t>
      </w:r>
      <w:r w:rsidRPr="00E617E2">
        <w:rPr>
          <w:rFonts w:ascii="Arial" w:hAnsi="Arial" w:cs="Arial"/>
          <w:color w:val="000000" w:themeColor="text1"/>
          <w:sz w:val="18"/>
          <w:szCs w:val="18"/>
          <w:vertAlign w:val="superscript"/>
        </w:rPr>
        <w:footnoteReference w:id="7"/>
      </w:r>
      <w:r w:rsidRPr="00E617E2">
        <w:rPr>
          <w:rFonts w:ascii="Arial" w:hAnsi="Arial" w:cs="Arial"/>
          <w:color w:val="000000" w:themeColor="text1"/>
          <w:sz w:val="18"/>
          <w:szCs w:val="18"/>
        </w:rPr>
        <w:t xml:space="preserve"> </w:t>
      </w:r>
    </w:p>
    <w:p w14:paraId="392D8907" w14:textId="77777777" w:rsidR="00E617E2" w:rsidRPr="00E617E2" w:rsidRDefault="00E617E2" w:rsidP="00E617E2">
      <w:pPr>
        <w:spacing w:after="80"/>
        <w:ind w:left="-4"/>
        <w:rPr>
          <w:rFonts w:ascii="Arial" w:hAnsi="Arial" w:cs="Arial"/>
          <w:color w:val="000000" w:themeColor="text1"/>
          <w:sz w:val="18"/>
          <w:szCs w:val="18"/>
        </w:rPr>
      </w:pPr>
      <w:r w:rsidRPr="00E617E2">
        <w:rPr>
          <w:rFonts w:ascii="Arial" w:hAnsi="Arial" w:cs="Arial"/>
          <w:color w:val="000000" w:themeColor="text1"/>
          <w:sz w:val="18"/>
          <w:szCs w:val="18"/>
        </w:rPr>
        <w:t>Dr. Robert Malone, M.D., M.S., the inventor of mRNA vaccine technology saw his LinkedIn account (a subsidiary of Microsoft Inc.) restricted and later reinstated for violating LinkedIn’s user agreement because he posted “misleading or inaccurate information” about vaccines and COVID-19.</w:t>
      </w:r>
      <w:r w:rsidRPr="00E617E2">
        <w:rPr>
          <w:rFonts w:ascii="Arial" w:hAnsi="Arial" w:cs="Arial"/>
          <w:color w:val="000000" w:themeColor="text1"/>
          <w:sz w:val="18"/>
          <w:szCs w:val="18"/>
          <w:vertAlign w:val="superscript"/>
        </w:rPr>
        <w:footnoteReference w:id="8"/>
      </w:r>
      <w:r w:rsidRPr="00E617E2">
        <w:rPr>
          <w:rFonts w:ascii="Arial" w:hAnsi="Arial" w:cs="Arial"/>
          <w:color w:val="000000" w:themeColor="text1"/>
          <w:sz w:val="18"/>
          <w:szCs w:val="18"/>
        </w:rPr>
        <w:t xml:space="preserve"> </w:t>
      </w:r>
    </w:p>
    <w:p w14:paraId="22EE98BA" w14:textId="77777777" w:rsidR="00E617E2" w:rsidRPr="00E617E2" w:rsidRDefault="00E617E2" w:rsidP="00E617E2">
      <w:pPr>
        <w:spacing w:after="80"/>
        <w:ind w:left="1"/>
        <w:rPr>
          <w:rFonts w:ascii="Arial" w:hAnsi="Arial" w:cs="Arial"/>
          <w:color w:val="000000" w:themeColor="text1"/>
          <w:sz w:val="18"/>
          <w:szCs w:val="18"/>
        </w:rPr>
      </w:pPr>
      <w:r w:rsidRPr="00E617E2">
        <w:rPr>
          <w:rFonts w:ascii="Arial" w:hAnsi="Arial" w:cs="Arial"/>
          <w:color w:val="000000" w:themeColor="text1"/>
          <w:sz w:val="18"/>
          <w:szCs w:val="18"/>
        </w:rPr>
        <w:t>United States Republican 2024 presidential candidate Vivek Ramaswamy said in May 2023 his LinkedIn account (a subsidiary of Microsoft Inc.) was restricted for sharing content that contains misleading or inaccurate information and later reinstated the same day.</w:t>
      </w:r>
      <w:r w:rsidRPr="00E617E2">
        <w:rPr>
          <w:rFonts w:ascii="Arial" w:hAnsi="Arial" w:cs="Arial"/>
          <w:color w:val="000000" w:themeColor="text1"/>
          <w:sz w:val="18"/>
          <w:szCs w:val="18"/>
          <w:vertAlign w:val="superscript"/>
        </w:rPr>
        <w:footnoteReference w:id="9"/>
      </w:r>
      <w:r w:rsidRPr="00E617E2">
        <w:rPr>
          <w:rFonts w:ascii="Arial" w:hAnsi="Arial" w:cs="Arial"/>
          <w:color w:val="000000" w:themeColor="text1"/>
          <w:sz w:val="18"/>
          <w:szCs w:val="18"/>
        </w:rPr>
        <w:t xml:space="preserve"> </w:t>
      </w:r>
    </w:p>
    <w:p w14:paraId="3665E07A" w14:textId="77777777" w:rsidR="00E617E2" w:rsidRPr="00E617E2" w:rsidRDefault="00E617E2" w:rsidP="00E617E2">
      <w:pPr>
        <w:spacing w:after="80"/>
        <w:rPr>
          <w:rFonts w:ascii="Arial" w:hAnsi="Arial" w:cs="Arial"/>
          <w:color w:val="242424"/>
          <w:sz w:val="20"/>
        </w:rPr>
      </w:pPr>
      <w:r w:rsidRPr="00E617E2">
        <w:rPr>
          <w:rFonts w:ascii="Arial" w:hAnsi="Arial" w:cs="Arial"/>
          <w:color w:val="000000" w:themeColor="text1"/>
          <w:sz w:val="18"/>
          <w:szCs w:val="18"/>
          <w:u w:color="000000"/>
        </w:rPr>
        <w:t xml:space="preserve">Shareholders need to know whether the Company cooperates with government officials engaged in unconstitutional censorship, opening the Company to liability claims by victims. to know whether the Company fails to disclose these potential liabilities as material risks in its public filings. </w:t>
      </w:r>
      <w:r w:rsidRPr="00E617E2">
        <w:rPr>
          <w:rFonts w:ascii="Arial" w:hAnsi="Arial" w:cs="Arial"/>
          <w:color w:val="242424"/>
          <w:sz w:val="20"/>
        </w:rPr>
        <w:br w:type="page"/>
      </w:r>
    </w:p>
    <w:p w14:paraId="7D61780A" w14:textId="77777777" w:rsidR="00E617E2" w:rsidRPr="00E617E2" w:rsidRDefault="00E617E2" w:rsidP="00E617E2">
      <w:pPr>
        <w:keepNext/>
        <w:spacing w:before="120" w:after="120"/>
        <w:rPr>
          <w:rFonts w:ascii="Arial" w:hAnsi="Arial" w:cs="Arial"/>
          <w:sz w:val="18"/>
          <w:szCs w:val="18"/>
        </w:rPr>
      </w:pPr>
      <w:r w:rsidRPr="00E617E2">
        <w:rPr>
          <w:rFonts w:ascii="Arial" w:hAnsi="Arial" w:cs="Arial"/>
          <w:b/>
          <w:bCs/>
          <w:color w:val="0075C9"/>
          <w:sz w:val="18"/>
          <w:szCs w:val="18"/>
        </w:rPr>
        <w:lastRenderedPageBreak/>
        <w:t xml:space="preserve">Board Recommendation </w:t>
      </w:r>
    </w:p>
    <w:p w14:paraId="1F472207" w14:textId="77777777" w:rsidR="00E617E2" w:rsidRPr="00E617E2" w:rsidRDefault="00E617E2" w:rsidP="00E617E2">
      <w:pPr>
        <w:keepNext/>
        <w:spacing w:before="120" w:after="120"/>
        <w:rPr>
          <w:rFonts w:ascii="Arial" w:hAnsi="Arial" w:cs="Arial"/>
          <w:sz w:val="18"/>
          <w:szCs w:val="18"/>
          <w14:ligatures w14:val="standardContextual"/>
        </w:rPr>
      </w:pPr>
      <w:r w:rsidRPr="00E617E2">
        <w:rPr>
          <w:rFonts w:ascii="Arial" w:hAnsi="Arial" w:cs="Arial"/>
          <w:b/>
          <w:bCs/>
          <w:i/>
          <w:iCs/>
          <w:color w:val="0075C9"/>
          <w:sz w:val="18"/>
          <w:szCs w:val="18"/>
        </w:rPr>
        <w:t xml:space="preserve">The Board of Directors recommends a vote AGAINST the proposal for the following reasons: </w:t>
      </w:r>
    </w:p>
    <w:p w14:paraId="06F12CE8" w14:textId="77777777" w:rsidR="00E617E2" w:rsidRPr="00E617E2" w:rsidRDefault="00E617E2" w:rsidP="00E617E2">
      <w:pPr>
        <w:keepNext/>
        <w:spacing w:before="120" w:after="120"/>
        <w:rPr>
          <w:rFonts w:ascii="Arial" w:hAnsi="Arial" w:cs="Arial"/>
          <w:sz w:val="18"/>
          <w:szCs w:val="18"/>
          <w14:ligatures w14:val="standardContextual"/>
        </w:rPr>
      </w:pPr>
      <w:r w:rsidRPr="00E617E2">
        <w:rPr>
          <w:rFonts w:ascii="Arial" w:hAnsi="Arial" w:cs="Arial"/>
          <w:b/>
          <w:bCs/>
          <w:sz w:val="18"/>
          <w:szCs w:val="18"/>
        </w:rPr>
        <w:t xml:space="preserve">COMPANY STATEMENT IN OPPOSITION </w:t>
      </w:r>
    </w:p>
    <w:p w14:paraId="6D5462E5" w14:textId="77777777" w:rsidR="00E617E2" w:rsidRPr="00E617E2" w:rsidRDefault="00E617E2" w:rsidP="00E617E2">
      <w:pPr>
        <w:spacing w:before="80" w:after="80"/>
        <w:rPr>
          <w:rFonts w:ascii="Arial" w:hAnsi="Arial" w:cs="Arial"/>
          <w:sz w:val="18"/>
          <w:szCs w:val="18"/>
        </w:rPr>
      </w:pPr>
      <w:r w:rsidRPr="00E617E2">
        <w:rPr>
          <w:rFonts w:ascii="Arial" w:hAnsi="Arial" w:cs="Arial"/>
          <w:sz w:val="18"/>
          <w:szCs w:val="18"/>
        </w:rPr>
        <w:t xml:space="preserve">This proposal is unnecessary because Microsoft and LinkedIn both already provide semi-annual reports on Government Content Removal Requests and explain the principles and </w:t>
      </w:r>
      <w:proofErr w:type="gramStart"/>
      <w:r w:rsidRPr="00E617E2">
        <w:rPr>
          <w:rFonts w:ascii="Arial" w:hAnsi="Arial" w:cs="Arial"/>
          <w:sz w:val="18"/>
          <w:szCs w:val="18"/>
        </w:rPr>
        <w:t>process</w:t>
      </w:r>
      <w:proofErr w:type="gramEnd"/>
      <w:r w:rsidRPr="00E617E2">
        <w:rPr>
          <w:rFonts w:ascii="Arial" w:hAnsi="Arial" w:cs="Arial"/>
          <w:sz w:val="18"/>
          <w:szCs w:val="18"/>
        </w:rPr>
        <w:t xml:space="preserve"> used to evaluate and respond to such requests. These reports already cover the types of requests raised as a concern in the proposal. There are very few such requests disclosed for the United States because LinkedIn and Microsoft have not historically or recently received the types of requests the proposal raises as a concern. </w:t>
      </w:r>
    </w:p>
    <w:p w14:paraId="5962E83F" w14:textId="77777777" w:rsidR="00E617E2" w:rsidRPr="00E617E2" w:rsidRDefault="00E617E2" w:rsidP="00E617E2">
      <w:pPr>
        <w:spacing w:before="80" w:after="80"/>
        <w:rPr>
          <w:rFonts w:ascii="Arial" w:hAnsi="Arial" w:cs="Arial"/>
          <w:sz w:val="18"/>
          <w:szCs w:val="18"/>
        </w:rPr>
      </w:pPr>
      <w:r w:rsidRPr="00E617E2">
        <w:rPr>
          <w:rFonts w:ascii="Arial" w:hAnsi="Arial" w:cs="Arial"/>
          <w:sz w:val="18"/>
          <w:szCs w:val="18"/>
        </w:rPr>
        <w:t xml:space="preserve">Microsoft issues a Content Removal Requests Report that covers government content removal requests related to </w:t>
      </w:r>
      <w:r w:rsidRPr="00E617E2">
        <w:rPr>
          <w:rFonts w:ascii="Arial" w:hAnsi="Arial" w:cs="Arial"/>
          <w:color w:val="000000" w:themeColor="text1"/>
          <w:sz w:val="18"/>
          <w:szCs w:val="18"/>
        </w:rPr>
        <w:t xml:space="preserve">Microsoft’s consumer online services (e.g., Bing, Bing Ads, OneDrive, and MSN.) The report also details Microsoft’s approach to responding to government takedown requests. When Microsoft receives a government request to remove content, we carefully review and assess the demand to understand the reason for the request, the authority of the requesting party, the applicable internal policies or terms of use for the affected product or service, and our commitments to our customers and users including with regard to freedom of expression. Based on these reviews, we determine whether and to what extent we should remove the content in question. Finally, while it does not directly relate to Government Takedown Requests, Microsoft also recently begun providing data on content removal on the Xbox Live platform related to a range of issues from sexual content to fraud. </w:t>
      </w:r>
    </w:p>
    <w:p w14:paraId="427498DF" w14:textId="77777777" w:rsidR="00E617E2" w:rsidRPr="00E617E2" w:rsidRDefault="00E617E2" w:rsidP="00E617E2">
      <w:pPr>
        <w:spacing w:before="80" w:after="80"/>
        <w:rPr>
          <w:rFonts w:ascii="Arial" w:hAnsi="Arial" w:cs="Arial"/>
          <w:sz w:val="18"/>
          <w:szCs w:val="18"/>
        </w:rPr>
      </w:pPr>
      <w:r w:rsidRPr="00E617E2">
        <w:rPr>
          <w:rFonts w:ascii="Arial" w:hAnsi="Arial" w:cs="Arial"/>
          <w:sz w:val="18"/>
          <w:szCs w:val="18"/>
        </w:rPr>
        <w:t xml:space="preserve">LinkedIn has issued reports on Government Content Removal Requests since 2018, which are updated twice yearly. Over that five-year period, the reports indicate LinkedIn received and acted on a total of two content removal requests in the U.S. The types of requests from federal officials and agencies specified in this proposal fall into the scope of this </w:t>
      </w:r>
      <w:proofErr w:type="gramStart"/>
      <w:r w:rsidRPr="00E617E2">
        <w:rPr>
          <w:rFonts w:ascii="Arial" w:hAnsi="Arial" w:cs="Arial"/>
          <w:sz w:val="18"/>
          <w:szCs w:val="18"/>
        </w:rPr>
        <w:t>reporting</w:t>
      </w:r>
      <w:proofErr w:type="gramEnd"/>
      <w:r w:rsidRPr="00E617E2">
        <w:rPr>
          <w:rFonts w:ascii="Arial" w:hAnsi="Arial" w:cs="Arial"/>
          <w:sz w:val="18"/>
          <w:szCs w:val="18"/>
        </w:rPr>
        <w:t xml:space="preserve">. Reporting of government take down requests in the U.S. also includes requests from non-federal sources, such as state attorneys general or other state regulatory agencies seeking removal of fraudulent or illegal activities. </w:t>
      </w:r>
    </w:p>
    <w:p w14:paraId="0E1970A4" w14:textId="77777777" w:rsidR="00E617E2" w:rsidRPr="00E617E2" w:rsidRDefault="00E617E2" w:rsidP="00E617E2">
      <w:pPr>
        <w:spacing w:before="80" w:after="80"/>
        <w:rPr>
          <w:rFonts w:ascii="Arial" w:hAnsi="Arial" w:cs="Arial"/>
          <w:sz w:val="18"/>
          <w:szCs w:val="18"/>
          <w:shd w:val="clear" w:color="auto" w:fill="FFFFFF"/>
        </w:rPr>
      </w:pPr>
      <w:r w:rsidRPr="00E617E2">
        <w:rPr>
          <w:rFonts w:ascii="Arial" w:hAnsi="Arial" w:cs="Arial"/>
          <w:sz w:val="18"/>
          <w:szCs w:val="18"/>
        </w:rPr>
        <w:t xml:space="preserve">LinkedIn’s approach to the review, analysis, and </w:t>
      </w:r>
      <w:proofErr w:type="gramStart"/>
      <w:r w:rsidRPr="00E617E2">
        <w:rPr>
          <w:rFonts w:ascii="Arial" w:hAnsi="Arial" w:cs="Arial"/>
          <w:sz w:val="18"/>
          <w:szCs w:val="18"/>
        </w:rPr>
        <w:t>actioning</w:t>
      </w:r>
      <w:proofErr w:type="gramEnd"/>
      <w:r w:rsidRPr="00E617E2">
        <w:rPr>
          <w:rFonts w:ascii="Arial" w:hAnsi="Arial" w:cs="Arial"/>
          <w:sz w:val="18"/>
          <w:szCs w:val="18"/>
        </w:rPr>
        <w:t xml:space="preserve"> of any such requests is materially the same as Microsoft’s described above. LinkedIn’s Government Requests Report posted at </w:t>
      </w:r>
      <w:hyperlink r:id="rId64" w:history="1">
        <w:r w:rsidRPr="00E617E2">
          <w:rPr>
            <w:rFonts w:ascii="Arial" w:hAnsi="Arial" w:cs="Arial"/>
            <w:color w:val="000000" w:themeColor="text1"/>
            <w:sz w:val="18"/>
            <w:szCs w:val="18"/>
            <w:u w:val="single"/>
          </w:rPr>
          <w:t>https://about.linkedin.com/transparency</w:t>
        </w:r>
      </w:hyperlink>
      <w:r w:rsidRPr="00E617E2">
        <w:rPr>
          <w:rFonts w:ascii="Arial" w:hAnsi="Arial" w:cs="Arial"/>
          <w:sz w:val="18"/>
          <w:szCs w:val="18"/>
        </w:rPr>
        <w:t xml:space="preserve"> notes, “</w:t>
      </w:r>
      <w:r w:rsidRPr="00E617E2">
        <w:rPr>
          <w:rFonts w:ascii="Arial" w:hAnsi="Arial" w:cs="Arial"/>
          <w:sz w:val="18"/>
          <w:szCs w:val="18"/>
          <w:shd w:val="clear" w:color="auto" w:fill="FFFFFF"/>
        </w:rPr>
        <w:t xml:space="preserve">As part of our commitment to a safe, trusted, and professional environment, we provide as much transparency as possible about government requests for member data and content removal we receive. We believe in free expression and try to minimize the impact of laws that negatively affect constructive, relevant </w:t>
      </w:r>
      <w:proofErr w:type="gramStart"/>
      <w:r w:rsidRPr="00E617E2">
        <w:rPr>
          <w:rFonts w:ascii="Arial" w:hAnsi="Arial" w:cs="Arial"/>
          <w:sz w:val="18"/>
          <w:szCs w:val="18"/>
          <w:shd w:val="clear" w:color="auto" w:fill="FFFFFF"/>
        </w:rPr>
        <w:t>speech.”</w:t>
      </w:r>
      <w:proofErr w:type="gramEnd"/>
    </w:p>
    <w:p w14:paraId="0102FDF4" w14:textId="77777777" w:rsidR="00E617E2" w:rsidRPr="00E617E2" w:rsidRDefault="00E617E2" w:rsidP="00E617E2">
      <w:pPr>
        <w:shd w:val="clear" w:color="auto" w:fill="FFFFFF"/>
        <w:spacing w:before="100" w:beforeAutospacing="1" w:after="100" w:afterAutospacing="1"/>
        <w:ind w:left="360"/>
        <w:rPr>
          <w:rFonts w:ascii="Arial" w:hAnsi="Arial" w:cs="Arial"/>
          <w:color w:val="242424"/>
          <w:sz w:val="20"/>
        </w:rPr>
        <w:sectPr w:rsidR="00E617E2" w:rsidRPr="00E617E2" w:rsidSect="004929E2">
          <w:footnotePr>
            <w:numRestart w:val="eachSect"/>
          </w:footnotePr>
          <w:pgSz w:w="12240" w:h="15840"/>
          <w:pgMar w:top="720" w:right="720" w:bottom="720" w:left="720" w:header="720" w:footer="720" w:gutter="0"/>
          <w:cols w:space="720"/>
          <w:docGrid w:linePitch="360"/>
        </w:sectPr>
      </w:pPr>
    </w:p>
    <w:p w14:paraId="6AD519DC" w14:textId="77777777" w:rsidR="00E617E2" w:rsidRPr="00E617E2" w:rsidRDefault="00E617E2" w:rsidP="00E617E2">
      <w:pPr>
        <w:spacing w:after="80"/>
        <w:rPr>
          <w:rFonts w:ascii="Arial" w:hAnsi="Arial" w:cs="Arial"/>
          <w:b/>
          <w:bCs/>
          <w:szCs w:val="24"/>
        </w:rPr>
      </w:pPr>
      <w:r w:rsidRPr="00E617E2">
        <w:rPr>
          <w:rFonts w:ascii="Arial" w:eastAsiaTheme="minorHAnsi" w:hAnsi="Arial" w:cs="Arial"/>
          <w:b/>
          <w:bCs/>
          <w:kern w:val="2"/>
          <w:szCs w:val="24"/>
          <w14:ligatures w14:val="standardContextual"/>
        </w:rPr>
        <w:lastRenderedPageBreak/>
        <w:t xml:space="preserve">Proposal 8: </w:t>
      </w:r>
      <w:r w:rsidRPr="00E617E2">
        <w:rPr>
          <w:rFonts w:ascii="Arial" w:hAnsi="Arial" w:cs="Arial"/>
          <w:b/>
          <w:bCs/>
          <w:szCs w:val="24"/>
        </w:rPr>
        <w:t>Report on Risks of Weapons Development</w:t>
      </w:r>
      <w:r w:rsidRPr="00E617E2">
        <w:rPr>
          <w:rFonts w:ascii="Arial" w:eastAsiaTheme="minorHAnsi" w:hAnsi="Arial" w:cs="Arial"/>
          <w:b/>
          <w:bCs/>
          <w:kern w:val="2"/>
          <w:szCs w:val="24"/>
          <w14:ligatures w14:val="standardContextual"/>
        </w:rPr>
        <w:t xml:space="preserve"> </w:t>
      </w:r>
      <w:r w:rsidRPr="00E617E2">
        <w:rPr>
          <w:rFonts w:ascii="Arial" w:hAnsi="Arial" w:cs="Arial"/>
          <w:b/>
          <w:bCs/>
          <w:szCs w:val="24"/>
        </w:rPr>
        <w:t>(Shareholder Proposal)</w:t>
      </w:r>
    </w:p>
    <w:p w14:paraId="0C4DEAD0" w14:textId="77777777" w:rsidR="00E617E2" w:rsidRPr="00E617E2" w:rsidRDefault="00E617E2" w:rsidP="00E617E2">
      <w:pPr>
        <w:spacing w:after="240"/>
        <w:rPr>
          <w:rFonts w:ascii="Arial" w:eastAsia="Calibri" w:hAnsi="Arial" w:cs="Arial"/>
          <w:color w:val="000000"/>
          <w:sz w:val="18"/>
          <w:szCs w:val="18"/>
        </w:rPr>
      </w:pPr>
      <w:r w:rsidRPr="00E617E2">
        <w:rPr>
          <w:rFonts w:ascii="Arial" w:hAnsi="Arial" w:cs="Arial"/>
          <w:sz w:val="18"/>
          <w:szCs w:val="18"/>
        </w:rPr>
        <w:t>Harrington Investments, Inc. has advised us that they intend to submit the following proposal for consideration at the Annual Meeting.</w:t>
      </w:r>
    </w:p>
    <w:p w14:paraId="2435DD25"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Microsoft (MSFT) developed an augmented reality headset to provide night vision, thermal sensing, and monitoring of vital signs, initially intended for gaming purposes, then the US Army adapted this product to be used for military training and combat.</w:t>
      </w:r>
      <w:r w:rsidRPr="00E617E2">
        <w:rPr>
          <w:rFonts w:ascii="Arial" w:eastAsia="Calibri" w:hAnsi="Arial" w:cs="Arial"/>
          <w:color w:val="000000"/>
          <w:sz w:val="18"/>
          <w:szCs w:val="18"/>
          <w:vertAlign w:val="superscript"/>
        </w:rPr>
        <w:footnoteReference w:id="10"/>
      </w:r>
      <w:r w:rsidRPr="00E617E2">
        <w:rPr>
          <w:rFonts w:ascii="Arial" w:eastAsia="Calibri" w:hAnsi="Arial" w:cs="Arial"/>
          <w:color w:val="000000"/>
          <w:sz w:val="18"/>
          <w:szCs w:val="18"/>
        </w:rPr>
        <w:t xml:space="preserve">  </w:t>
      </w:r>
    </w:p>
    <w:p w14:paraId="41719508"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 xml:space="preserve">In March 2021, our Company was awarded a $479 million Integrated Visual Augmentation System (IVAS) contract with the US Department of the Army. This later became a $22 billion contract for a semi-custom version of IVAS to rapidly develop, test, and manufacture a single platform that soldiers can use to fight, rehearse, and train </w:t>
      </w:r>
      <w:r w:rsidRPr="00E617E2">
        <w:rPr>
          <w:rFonts w:ascii="Arial" w:eastAsia="Calibri" w:hAnsi="Arial" w:cs="Arial"/>
          <w:b/>
          <w:color w:val="000000"/>
          <w:sz w:val="18"/>
          <w:szCs w:val="18"/>
        </w:rPr>
        <w:t>that provides increased lethality</w:t>
      </w:r>
      <w:r w:rsidRPr="00E617E2">
        <w:rPr>
          <w:rFonts w:ascii="Arial" w:eastAsia="Calibri" w:hAnsi="Arial" w:cs="Arial"/>
          <w:color w:val="000000"/>
          <w:sz w:val="18"/>
          <w:szCs w:val="18"/>
        </w:rPr>
        <w:t xml:space="preserve">, mobility, and situational awareness necessary to achieve overmatch against our current and future adversaries.  </w:t>
      </w:r>
    </w:p>
    <w:p w14:paraId="3D6F1D69"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In 2019, amidst the contract negotiation with the military, MSFT employees pushed back in a letter to the Company stating they “do not want to become war profiteers” and they “did not sign up to develop weapons” and “demand a say in how our work is used”</w:t>
      </w:r>
      <w:r w:rsidRPr="00E617E2">
        <w:rPr>
          <w:rFonts w:ascii="Arial" w:eastAsia="Calibri" w:hAnsi="Arial" w:cs="Arial"/>
          <w:color w:val="000000"/>
          <w:sz w:val="18"/>
          <w:szCs w:val="18"/>
          <w:vertAlign w:val="superscript"/>
        </w:rPr>
        <w:footnoteReference w:id="11"/>
      </w:r>
      <w:r w:rsidRPr="00E617E2">
        <w:rPr>
          <w:rFonts w:ascii="Arial" w:eastAsia="Calibri" w:hAnsi="Arial" w:cs="Arial"/>
          <w:color w:val="000000"/>
          <w:sz w:val="18"/>
          <w:szCs w:val="18"/>
        </w:rPr>
        <w:t xml:space="preserve">; </w:t>
      </w:r>
    </w:p>
    <w:p w14:paraId="6AC82640"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 xml:space="preserve">“It will be deployed on the battlefield and works by turning warfare into a simulated ‘video game,’ further distancing soldiers from the grim stakes of war and the reality of bloodshed,” Microsoft workers warn.  Simply put, the application of HoloLens within the IVAS system is “designed to help people kill.”  </w:t>
      </w:r>
    </w:p>
    <w:p w14:paraId="1B704EAD"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Further revelations surrounding the problematic nature are noted as “Lawmakers cited concerns over the HoloLens 2-based device’s field tests, where the headset struggled with environmental, sight calibration, and other issues. Device assessments also explained how the headset led to soldier “impairments” such as motion sickness, headaches, and other concerns.”</w:t>
      </w:r>
      <w:r w:rsidRPr="00E617E2">
        <w:rPr>
          <w:rFonts w:ascii="Arial" w:eastAsia="Calibri" w:hAnsi="Arial" w:cs="Arial"/>
          <w:color w:val="000000"/>
          <w:sz w:val="18"/>
          <w:szCs w:val="18"/>
          <w:vertAlign w:val="superscript"/>
        </w:rPr>
        <w:footnoteReference w:id="12"/>
      </w:r>
      <w:r w:rsidRPr="00E617E2">
        <w:rPr>
          <w:rFonts w:ascii="Arial" w:eastAsia="Calibri" w:hAnsi="Arial" w:cs="Arial"/>
          <w:color w:val="000000"/>
          <w:sz w:val="18"/>
          <w:szCs w:val="18"/>
        </w:rPr>
        <w:t xml:space="preserve">  </w:t>
      </w:r>
    </w:p>
    <w:p w14:paraId="3E870C34"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 xml:space="preserve">Regardless of how our Company positions itself by making public statements, the outcome is a significant contract with the US military and Microsoft is actively working to develop what employees, other stakeholders, including shareholders, and the public view as a weapons system used in war.  </w:t>
      </w:r>
    </w:p>
    <w:p w14:paraId="5DEBFA0F"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 xml:space="preserve">Involvement in the development of weapons poses a serious risk to a company’s reputation, especially for investors and stakeholders. Is it prudent for our Company to be identified as a weapons developer?  </w:t>
      </w:r>
    </w:p>
    <w:p w14:paraId="40E5031E" w14:textId="77777777" w:rsidR="00E617E2" w:rsidRPr="00E617E2" w:rsidRDefault="00E617E2" w:rsidP="00E617E2">
      <w:pPr>
        <w:spacing w:after="80"/>
        <w:ind w:left="-5"/>
        <w:rPr>
          <w:rFonts w:ascii="Arial" w:eastAsia="Calibri" w:hAnsi="Arial" w:cs="Arial"/>
          <w:color w:val="000000"/>
          <w:sz w:val="18"/>
          <w:szCs w:val="18"/>
        </w:rPr>
      </w:pPr>
    </w:p>
    <w:p w14:paraId="2CB55E6E"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b/>
          <w:color w:val="000000"/>
          <w:sz w:val="18"/>
          <w:szCs w:val="18"/>
          <w:u w:val="single" w:color="000000"/>
        </w:rPr>
        <w:t>BE IT RESOLVED,</w:t>
      </w:r>
      <w:r w:rsidRPr="00E617E2">
        <w:rPr>
          <w:rFonts w:ascii="Arial" w:eastAsia="Calibri" w:hAnsi="Arial" w:cs="Arial"/>
          <w:b/>
          <w:color w:val="000000"/>
          <w:sz w:val="18"/>
          <w:szCs w:val="18"/>
        </w:rPr>
        <w:t xml:space="preserve"> </w:t>
      </w:r>
    </w:p>
    <w:p w14:paraId="44F47535" w14:textId="77777777" w:rsidR="00E617E2" w:rsidRPr="00E617E2" w:rsidRDefault="00E617E2" w:rsidP="00E617E2">
      <w:pPr>
        <w:spacing w:after="80"/>
        <w:ind w:left="-15"/>
        <w:rPr>
          <w:rFonts w:ascii="Arial" w:eastAsia="Calibri" w:hAnsi="Arial" w:cs="Arial"/>
          <w:color w:val="000000"/>
          <w:sz w:val="20"/>
        </w:rPr>
      </w:pPr>
      <w:r w:rsidRPr="00E617E2">
        <w:rPr>
          <w:rFonts w:ascii="Arial" w:eastAsia="Calibri" w:hAnsi="Arial" w:cs="Arial"/>
          <w:color w:val="000000"/>
          <w:sz w:val="18"/>
          <w:szCs w:val="18"/>
        </w:rPr>
        <w:t xml:space="preserve">Shareholders request that the board issue an </w:t>
      </w:r>
      <w:proofErr w:type="gramStart"/>
      <w:r w:rsidRPr="00E617E2">
        <w:rPr>
          <w:rFonts w:ascii="Arial" w:eastAsia="Calibri" w:hAnsi="Arial" w:cs="Arial"/>
          <w:color w:val="000000"/>
          <w:sz w:val="18"/>
          <w:szCs w:val="18"/>
        </w:rPr>
        <w:t>independent,</w:t>
      </w:r>
      <w:proofErr w:type="gramEnd"/>
      <w:r w:rsidRPr="00E617E2">
        <w:rPr>
          <w:rFonts w:ascii="Arial" w:eastAsia="Calibri" w:hAnsi="Arial" w:cs="Arial"/>
          <w:color w:val="000000"/>
          <w:sz w:val="18"/>
          <w:szCs w:val="18"/>
        </w:rPr>
        <w:t xml:space="preserve"> third-party report, at reasonable expense and excluding proprietary information, to assess the reputational and financial risks to the company for being identified as a company involved in the development of weapons used by the military for training and/or combat purposes.</w:t>
      </w:r>
    </w:p>
    <w:p w14:paraId="71414486" w14:textId="77777777" w:rsidR="00E617E2" w:rsidRPr="00E617E2" w:rsidRDefault="00E617E2" w:rsidP="00E617E2">
      <w:pPr>
        <w:rPr>
          <w:rFonts w:ascii="Arial" w:hAnsi="Arial" w:cs="Arial"/>
          <w:b/>
          <w:bCs/>
          <w:color w:val="0075C9"/>
          <w:sz w:val="20"/>
        </w:rPr>
      </w:pPr>
      <w:r w:rsidRPr="00E617E2">
        <w:rPr>
          <w:rFonts w:ascii="Arial" w:hAnsi="Arial" w:cs="Arial"/>
          <w:b/>
          <w:bCs/>
          <w:color w:val="0075C9"/>
          <w:sz w:val="20"/>
        </w:rPr>
        <w:br w:type="page"/>
      </w:r>
    </w:p>
    <w:p w14:paraId="6FEEB373" w14:textId="77777777" w:rsidR="00E617E2" w:rsidRPr="00E617E2" w:rsidRDefault="00E617E2" w:rsidP="00E617E2">
      <w:pPr>
        <w:spacing w:before="120" w:after="120" w:line="252" w:lineRule="auto"/>
        <w:rPr>
          <w:rFonts w:ascii="Arial" w:eastAsia="Calibri" w:hAnsi="Arial" w:cs="Arial"/>
          <w:color w:val="000000"/>
          <w:sz w:val="20"/>
        </w:rPr>
      </w:pPr>
      <w:r w:rsidRPr="00E617E2">
        <w:rPr>
          <w:rFonts w:ascii="Arial" w:hAnsi="Arial" w:cs="Arial"/>
          <w:b/>
          <w:bCs/>
          <w:color w:val="0075C9"/>
          <w:sz w:val="20"/>
        </w:rPr>
        <w:lastRenderedPageBreak/>
        <w:t xml:space="preserve">Board Recommendation </w:t>
      </w:r>
    </w:p>
    <w:p w14:paraId="33673CD6" w14:textId="77777777" w:rsidR="00E617E2" w:rsidRPr="00E617E2" w:rsidRDefault="00E617E2" w:rsidP="00E617E2">
      <w:pPr>
        <w:keepNext/>
        <w:spacing w:before="120" w:after="120"/>
        <w:rPr>
          <w:rFonts w:ascii="Arial" w:hAnsi="Arial" w:cs="Arial"/>
          <w:sz w:val="20"/>
        </w:rPr>
      </w:pPr>
      <w:r w:rsidRPr="00E617E2">
        <w:rPr>
          <w:rFonts w:ascii="Arial" w:hAnsi="Arial" w:cs="Arial"/>
          <w:b/>
          <w:bCs/>
          <w:i/>
          <w:iCs/>
          <w:color w:val="0075C9"/>
          <w:sz w:val="20"/>
        </w:rPr>
        <w:t xml:space="preserve">The Board of Directors recommends a vote AGAINST the proposal for the following reasons: </w:t>
      </w:r>
    </w:p>
    <w:p w14:paraId="1A95B38A" w14:textId="77777777" w:rsidR="00E617E2" w:rsidRPr="00E617E2" w:rsidRDefault="00E617E2" w:rsidP="00E617E2">
      <w:pPr>
        <w:keepNext/>
        <w:spacing w:before="120" w:after="120"/>
        <w:rPr>
          <w:rFonts w:ascii="Arial" w:hAnsi="Arial" w:cs="Arial"/>
          <w:sz w:val="20"/>
        </w:rPr>
      </w:pPr>
      <w:r w:rsidRPr="00E617E2">
        <w:rPr>
          <w:rFonts w:ascii="Arial" w:hAnsi="Arial" w:cs="Arial"/>
          <w:b/>
          <w:bCs/>
          <w:sz w:val="20"/>
        </w:rPr>
        <w:t xml:space="preserve">COMPANY STATEMENT IN OPPOSITION </w:t>
      </w:r>
    </w:p>
    <w:p w14:paraId="7C1567C8" w14:textId="77777777" w:rsidR="00E617E2" w:rsidRPr="00E617E2" w:rsidRDefault="00E617E2" w:rsidP="00E617E2">
      <w:pPr>
        <w:spacing w:before="120"/>
        <w:rPr>
          <w:rFonts w:ascii="Arial" w:eastAsia="Arial" w:hAnsi="Arial" w:cs="Arial"/>
          <w:sz w:val="18"/>
          <w:szCs w:val="18"/>
        </w:rPr>
      </w:pPr>
      <w:r w:rsidRPr="00E617E2">
        <w:rPr>
          <w:rFonts w:ascii="Arial" w:hAnsi="Arial" w:cs="Arial"/>
          <w:sz w:val="18"/>
          <w:szCs w:val="18"/>
        </w:rPr>
        <w:t xml:space="preserve">Microsoft has worked with the U.S. Department of Defense on a long-standing and reliable basis for over four decades. You’ll find Microsoft technology throughout the United States military, helping power its front office, field operations, bases, ships, aircraft, and training facilities. As Microsoft bid on some significant new military contracts over the past several years, Microsoft’s Senior Leadership Team deliberated and made a principled decision that we’re not going to withhold technology from institutions that we have elected in democracies to protect the freedoms we enjoy. </w:t>
      </w:r>
      <w:r w:rsidRPr="00E617E2">
        <w:rPr>
          <w:rFonts w:ascii="Arial" w:eastAsia="Arial" w:hAnsi="Arial" w:cs="Arial"/>
          <w:sz w:val="18"/>
          <w:szCs w:val="18"/>
        </w:rPr>
        <w:t>As technologies evolve and new capabilities emerge, we remain committed to ensuring that our military is at the forefront of that technology.</w:t>
      </w:r>
    </w:p>
    <w:p w14:paraId="5C3B5BC4" w14:textId="77777777" w:rsidR="00E617E2" w:rsidRPr="00E617E2" w:rsidRDefault="00E617E2" w:rsidP="00E617E2">
      <w:pPr>
        <w:keepNext/>
        <w:spacing w:before="120"/>
        <w:rPr>
          <w:rFonts w:ascii="Arial" w:hAnsi="Arial" w:cs="Arial"/>
          <w:sz w:val="18"/>
          <w:szCs w:val="18"/>
        </w:rPr>
      </w:pPr>
      <w:r w:rsidRPr="00E617E2">
        <w:rPr>
          <w:rFonts w:ascii="Arial" w:hAnsi="Arial" w:cs="Arial"/>
          <w:sz w:val="18"/>
          <w:szCs w:val="18"/>
        </w:rPr>
        <w:t xml:space="preserve">We’ve communicated that position with employees and in external communications like blog posts. As a result, we do not believe the requested third-party analyses would advance the interests of Microsoft, its shareholders, or other stakeholders. </w:t>
      </w:r>
    </w:p>
    <w:p w14:paraId="6C3C4EA2" w14:textId="77777777" w:rsidR="00E617E2" w:rsidRPr="00E617E2" w:rsidRDefault="00E617E2" w:rsidP="00E617E2">
      <w:pPr>
        <w:keepNext/>
        <w:spacing w:before="120"/>
        <w:rPr>
          <w:rFonts w:ascii="Arial" w:hAnsi="Arial" w:cs="Arial"/>
          <w:sz w:val="18"/>
          <w:szCs w:val="18"/>
        </w:rPr>
      </w:pPr>
      <w:r w:rsidRPr="00E617E2">
        <w:rPr>
          <w:rFonts w:ascii="Arial" w:hAnsi="Arial" w:cs="Arial"/>
          <w:sz w:val="18"/>
          <w:szCs w:val="18"/>
        </w:rPr>
        <w:t xml:space="preserve">To summarize our approach: </w:t>
      </w:r>
    </w:p>
    <w:p w14:paraId="60A19449" w14:textId="77777777" w:rsidR="00E617E2" w:rsidRPr="00E617E2" w:rsidRDefault="00E617E2" w:rsidP="00E617E2">
      <w:pPr>
        <w:spacing w:before="120"/>
        <w:ind w:left="180" w:hanging="180"/>
        <w:rPr>
          <w:rFonts w:ascii="Arial" w:hAnsi="Arial" w:cs="Arial"/>
          <w:sz w:val="18"/>
          <w:szCs w:val="18"/>
        </w:rPr>
      </w:pPr>
      <w:r w:rsidRPr="00E617E2">
        <w:rPr>
          <w:rFonts w:ascii="Arial" w:hAnsi="Arial" w:cs="Arial"/>
          <w:sz w:val="18"/>
          <w:szCs w:val="18"/>
        </w:rPr>
        <w:t>•</w:t>
      </w:r>
      <w:r w:rsidRPr="00E617E2">
        <w:rPr>
          <w:rFonts w:ascii="Arial" w:hAnsi="Arial" w:cs="Arial"/>
          <w:sz w:val="18"/>
          <w:szCs w:val="18"/>
        </w:rPr>
        <w:tab/>
        <w:t xml:space="preserve">First, we are committed to providing our technology to the United States military and our expertise and perspective on technology issues ranging from cybersecurity to the ethical use of Artificial Intelligence. We depend on the military to defend our country, and we want it to have access to the best technology the country has to defend it, including from Microsoft. </w:t>
      </w:r>
    </w:p>
    <w:p w14:paraId="31C2A30A" w14:textId="77777777" w:rsidR="00E617E2" w:rsidRPr="00E617E2" w:rsidRDefault="00E617E2" w:rsidP="00E617E2">
      <w:pPr>
        <w:spacing w:before="120"/>
        <w:ind w:left="180" w:hanging="180"/>
        <w:rPr>
          <w:rFonts w:ascii="Arial" w:hAnsi="Arial" w:cs="Arial"/>
          <w:sz w:val="18"/>
          <w:szCs w:val="18"/>
        </w:rPr>
      </w:pPr>
      <w:r w:rsidRPr="00E617E2">
        <w:rPr>
          <w:rFonts w:ascii="Arial" w:hAnsi="Arial" w:cs="Arial"/>
          <w:sz w:val="18"/>
          <w:szCs w:val="18"/>
        </w:rPr>
        <w:t>•</w:t>
      </w:r>
      <w:r w:rsidRPr="00E617E2">
        <w:rPr>
          <w:rFonts w:ascii="Arial" w:hAnsi="Arial" w:cs="Arial"/>
          <w:sz w:val="18"/>
          <w:szCs w:val="18"/>
        </w:rPr>
        <w:tab/>
        <w:t xml:space="preserve">Second, we will not only be active but proactive in working to address the ethical issues that new technology creates for the military. In a democratic country like the United States, where the military is accountable to civilian authorities, we believe the best way for us to address this is not to withhold our technology but rather to engage in discussions with the country’s institutions, including testimony before Congress, engagement with the Executive Branch, and the military itself. As we’ve worked to implement our own Responsible AI principles, we’ve worked to share with customers like the military our learnings and approach including our own internal Responsible AI Standard and a broad set of tools to facilitate the responsible assessment, development, and deployment of AI solutions. As we share information with those in the military and the government about AI technologies, equally we have a lot to learn ourselves by engaging with these institutions about this ethical field. </w:t>
      </w:r>
    </w:p>
    <w:p w14:paraId="12F58D67" w14:textId="77777777" w:rsidR="00E617E2" w:rsidRPr="00E617E2" w:rsidRDefault="00E617E2" w:rsidP="00E617E2">
      <w:pPr>
        <w:spacing w:before="120"/>
        <w:ind w:left="180" w:hanging="180"/>
        <w:rPr>
          <w:rFonts w:ascii="Arial" w:hAnsi="Arial" w:cs="Arial"/>
          <w:sz w:val="18"/>
          <w:szCs w:val="18"/>
        </w:rPr>
      </w:pPr>
      <w:r w:rsidRPr="00E617E2">
        <w:rPr>
          <w:rFonts w:ascii="Arial" w:hAnsi="Arial" w:cs="Arial"/>
          <w:sz w:val="18"/>
          <w:szCs w:val="18"/>
        </w:rPr>
        <w:t>•</w:t>
      </w:r>
      <w:r w:rsidRPr="00E617E2">
        <w:rPr>
          <w:rFonts w:ascii="Arial" w:hAnsi="Arial" w:cs="Arial"/>
          <w:sz w:val="18"/>
          <w:szCs w:val="18"/>
        </w:rPr>
        <w:tab/>
        <w:t xml:space="preserve">Third, we understand that some employees may have different views. We don’t ask or expect everyone who works at Microsoft to support every position the Company takes. We also respect the fact that some employees may not wish to work on certain projects. We have an approach that ensures that people who have such concerns can raise them, and we work with them to the extent </w:t>
      </w:r>
      <w:proofErr w:type="gramStart"/>
      <w:r w:rsidRPr="00E617E2">
        <w:rPr>
          <w:rFonts w:ascii="Arial" w:hAnsi="Arial" w:cs="Arial"/>
          <w:sz w:val="18"/>
          <w:szCs w:val="18"/>
        </w:rPr>
        <w:t>feasible</w:t>
      </w:r>
      <w:proofErr w:type="gramEnd"/>
      <w:r w:rsidRPr="00E617E2">
        <w:rPr>
          <w:rFonts w:ascii="Arial" w:hAnsi="Arial" w:cs="Arial"/>
          <w:sz w:val="18"/>
          <w:szCs w:val="18"/>
        </w:rPr>
        <w:t xml:space="preserve"> to address these concerns. We’re transparent about our decision-making and will continue to have that dialogue. </w:t>
      </w:r>
    </w:p>
    <w:p w14:paraId="713E68EE" w14:textId="77777777" w:rsidR="00E617E2" w:rsidRPr="00E617E2" w:rsidRDefault="00E617E2" w:rsidP="00E617E2">
      <w:pPr>
        <w:spacing w:before="120"/>
        <w:rPr>
          <w:rFonts w:ascii="Arial" w:hAnsi="Arial" w:cs="Arial"/>
          <w:sz w:val="20"/>
        </w:rPr>
        <w:sectPr w:rsidR="00E617E2" w:rsidRPr="00E617E2" w:rsidSect="004929E2">
          <w:footnotePr>
            <w:numRestart w:val="eachSect"/>
          </w:footnotePr>
          <w:pgSz w:w="12240" w:h="15840"/>
          <w:pgMar w:top="720" w:right="720" w:bottom="720" w:left="720" w:header="720" w:footer="720" w:gutter="0"/>
          <w:cols w:space="720"/>
          <w:docGrid w:linePitch="360"/>
        </w:sectPr>
      </w:pPr>
      <w:r w:rsidRPr="00E617E2">
        <w:rPr>
          <w:rFonts w:ascii="Arial" w:hAnsi="Arial" w:cs="Arial"/>
          <w:sz w:val="18"/>
          <w:szCs w:val="18"/>
        </w:rPr>
        <w:t xml:space="preserve">In short, Microsoft has been open about its principled approach to pursuing the military contracts cited in this proposal and our broader work with the United States military and worked to help inform discussions about ethical uses of our technologies. We do not believe the third-party assessment this proposal calls for is necessary to continue our thoughtful approach. </w:t>
      </w:r>
    </w:p>
    <w:p w14:paraId="024C5B5D" w14:textId="77777777" w:rsidR="00E617E2" w:rsidRPr="00E617E2" w:rsidRDefault="00E617E2" w:rsidP="00E617E2">
      <w:pPr>
        <w:spacing w:after="80"/>
        <w:ind w:left="14"/>
        <w:rPr>
          <w:rFonts w:ascii="Arial" w:hAnsi="Arial" w:cs="Arial"/>
          <w:b/>
          <w:bCs/>
          <w:szCs w:val="24"/>
        </w:rPr>
      </w:pPr>
      <w:r w:rsidRPr="00E617E2">
        <w:rPr>
          <w:rFonts w:ascii="Arial" w:eastAsiaTheme="minorHAnsi" w:hAnsi="Arial" w:cs="Arial"/>
          <w:b/>
          <w:bCs/>
          <w:kern w:val="2"/>
          <w:szCs w:val="24"/>
          <w14:ligatures w14:val="standardContextual"/>
        </w:rPr>
        <w:lastRenderedPageBreak/>
        <w:t xml:space="preserve">Proposal 9: </w:t>
      </w:r>
      <w:r w:rsidRPr="00E617E2">
        <w:rPr>
          <w:rFonts w:ascii="Arial" w:hAnsi="Arial" w:cs="Arial"/>
          <w:b/>
          <w:bCs/>
          <w:szCs w:val="24"/>
        </w:rPr>
        <w:t>Report on Climate Risks to Retirement Plan Beneficiaries</w:t>
      </w:r>
      <w:r w:rsidRPr="00E617E2">
        <w:rPr>
          <w:rFonts w:ascii="Arial" w:eastAsiaTheme="minorHAnsi" w:hAnsi="Arial" w:cs="Arial"/>
          <w:b/>
          <w:bCs/>
          <w:kern w:val="2"/>
          <w:szCs w:val="24"/>
          <w14:ligatures w14:val="standardContextual"/>
        </w:rPr>
        <w:t xml:space="preserve"> </w:t>
      </w:r>
      <w:r w:rsidRPr="00E617E2">
        <w:rPr>
          <w:rFonts w:ascii="Arial" w:hAnsi="Arial" w:cs="Arial"/>
          <w:b/>
          <w:bCs/>
          <w:szCs w:val="24"/>
        </w:rPr>
        <w:t>(Shareholder Proposal)</w:t>
      </w:r>
    </w:p>
    <w:p w14:paraId="4659BDA6" w14:textId="77777777" w:rsidR="00E617E2" w:rsidRPr="00E617E2" w:rsidRDefault="00E617E2" w:rsidP="00E617E2">
      <w:pPr>
        <w:spacing w:after="240"/>
        <w:ind w:left="14"/>
        <w:rPr>
          <w:rFonts w:ascii="Arial" w:eastAsia="Calibri" w:hAnsi="Arial" w:cs="Arial"/>
          <w:b/>
          <w:color w:val="000000"/>
          <w:sz w:val="18"/>
          <w:szCs w:val="18"/>
        </w:rPr>
      </w:pPr>
      <w:r w:rsidRPr="00E617E2">
        <w:rPr>
          <w:rFonts w:ascii="Arial" w:hAnsi="Arial" w:cs="Arial"/>
          <w:sz w:val="16"/>
          <w:szCs w:val="16"/>
        </w:rPr>
        <w:t>As You Sow and co-</w:t>
      </w:r>
      <w:proofErr w:type="gramStart"/>
      <w:r w:rsidRPr="00E617E2">
        <w:rPr>
          <w:rFonts w:ascii="Arial" w:hAnsi="Arial" w:cs="Arial"/>
          <w:sz w:val="16"/>
          <w:szCs w:val="16"/>
        </w:rPr>
        <w:t>filers</w:t>
      </w:r>
      <w:proofErr w:type="gramEnd"/>
      <w:r w:rsidRPr="00E617E2">
        <w:rPr>
          <w:rFonts w:ascii="Arial" w:hAnsi="Arial" w:cs="Arial"/>
          <w:sz w:val="16"/>
          <w:szCs w:val="16"/>
        </w:rPr>
        <w:t xml:space="preserve"> have advised us that they intend to submit the following proposal for consideration at the Annual Meeting.</w:t>
      </w:r>
    </w:p>
    <w:p w14:paraId="7BCD725A" w14:textId="77777777" w:rsidR="00E617E2" w:rsidRPr="00E617E2" w:rsidRDefault="00E617E2" w:rsidP="00E617E2">
      <w:pPr>
        <w:spacing w:after="7"/>
        <w:ind w:right="-15"/>
        <w:rPr>
          <w:rFonts w:ascii="Arial" w:eastAsia="Calibri" w:hAnsi="Arial" w:cs="Arial"/>
          <w:color w:val="000000"/>
          <w:sz w:val="18"/>
          <w:szCs w:val="18"/>
        </w:rPr>
      </w:pPr>
      <w:r w:rsidRPr="00E617E2">
        <w:rPr>
          <w:rFonts w:ascii="Arial" w:eastAsia="Calibri" w:hAnsi="Arial" w:cs="Arial"/>
          <w:b/>
          <w:color w:val="000000"/>
          <w:sz w:val="18"/>
          <w:szCs w:val="18"/>
        </w:rPr>
        <w:t>Protect Future Retirement Plan Beneficiaries From Portfolio Climate</w:t>
      </w:r>
      <w:r w:rsidRPr="00E617E2">
        <w:rPr>
          <w:rFonts w:ascii="Arial" w:eastAsia="Calibri" w:hAnsi="Arial" w:cs="Arial"/>
          <w:color w:val="000000"/>
          <w:sz w:val="18"/>
          <w:szCs w:val="18"/>
        </w:rPr>
        <w:t xml:space="preserve"> </w:t>
      </w:r>
      <w:r w:rsidRPr="00E617E2">
        <w:rPr>
          <w:rFonts w:ascii="Arial" w:eastAsia="Calibri" w:hAnsi="Arial" w:cs="Arial"/>
          <w:b/>
          <w:color w:val="000000"/>
          <w:sz w:val="18"/>
          <w:szCs w:val="18"/>
        </w:rPr>
        <w:t>Risk</w:t>
      </w:r>
    </w:p>
    <w:p w14:paraId="13A8F0DE" w14:textId="77777777" w:rsidR="00E617E2" w:rsidRPr="00E617E2" w:rsidRDefault="00E617E2" w:rsidP="00E617E2">
      <w:pPr>
        <w:spacing w:after="21"/>
        <w:ind w:left="1461"/>
        <w:rPr>
          <w:rFonts w:ascii="Arial" w:eastAsia="Calibri" w:hAnsi="Arial" w:cs="Arial"/>
          <w:color w:val="000000"/>
          <w:sz w:val="18"/>
          <w:szCs w:val="18"/>
        </w:rPr>
      </w:pPr>
    </w:p>
    <w:p w14:paraId="532D2606" w14:textId="77777777" w:rsidR="00E617E2" w:rsidRPr="00E617E2" w:rsidRDefault="00E617E2" w:rsidP="00E617E2">
      <w:pPr>
        <w:spacing w:after="80"/>
        <w:ind w:right="783"/>
        <w:rPr>
          <w:rFonts w:ascii="Arial" w:eastAsia="Calibri" w:hAnsi="Arial" w:cs="Arial"/>
          <w:color w:val="000000"/>
          <w:sz w:val="18"/>
          <w:szCs w:val="18"/>
        </w:rPr>
      </w:pPr>
      <w:r w:rsidRPr="00E617E2">
        <w:rPr>
          <w:rFonts w:ascii="Arial" w:eastAsia="Calibri" w:hAnsi="Arial" w:cs="Arial"/>
          <w:b/>
          <w:color w:val="000000"/>
          <w:sz w:val="18"/>
          <w:szCs w:val="18"/>
        </w:rPr>
        <w:t>WHEREAS:</w:t>
      </w:r>
      <w:r w:rsidRPr="00E617E2">
        <w:rPr>
          <w:rFonts w:ascii="Arial" w:eastAsia="Calibri" w:hAnsi="Arial" w:cs="Arial"/>
          <w:color w:val="000000"/>
          <w:sz w:val="18"/>
          <w:szCs w:val="18"/>
        </w:rPr>
        <w:t xml:space="preserve"> Climate change poses a growing, systemic risk to the economy. If global climate goals are not met, workers face the likelihood of significant negative impacts to their retirement portfolios. Swiss Re estimates a 4% decline in global GDP by 2050 if global temperature increases are kept below two degrees Celsius but up to an 18% decline without effective mitigation.</w:t>
      </w:r>
      <w:r w:rsidRPr="00E617E2">
        <w:rPr>
          <w:rFonts w:ascii="Arial" w:eastAsia="Calibri" w:hAnsi="Arial" w:cs="Arial"/>
          <w:color w:val="000000"/>
          <w:sz w:val="18"/>
          <w:szCs w:val="18"/>
          <w:vertAlign w:val="superscript"/>
        </w:rPr>
        <w:footnoteReference w:id="13"/>
      </w:r>
    </w:p>
    <w:p w14:paraId="0618A8EC" w14:textId="77777777" w:rsidR="00E617E2" w:rsidRPr="00E617E2" w:rsidRDefault="00E617E2" w:rsidP="00E617E2">
      <w:pPr>
        <w:spacing w:after="80"/>
        <w:ind w:right="783"/>
        <w:rPr>
          <w:rFonts w:ascii="Arial" w:eastAsia="Calibri" w:hAnsi="Arial" w:cs="Arial"/>
          <w:color w:val="000000"/>
          <w:sz w:val="18"/>
          <w:szCs w:val="18"/>
        </w:rPr>
      </w:pPr>
      <w:r w:rsidRPr="00E617E2">
        <w:rPr>
          <w:rFonts w:ascii="Arial" w:eastAsia="Calibri" w:hAnsi="Arial" w:cs="Arial"/>
          <w:color w:val="000000"/>
          <w:sz w:val="18"/>
          <w:szCs w:val="18"/>
        </w:rPr>
        <w:t>Microsoft has taken actions to address climate change, including a goal to become carbon negative by 2030.</w:t>
      </w:r>
      <w:r w:rsidRPr="00E617E2">
        <w:rPr>
          <w:rFonts w:ascii="Arial" w:eastAsia="Calibri" w:hAnsi="Arial" w:cs="Arial"/>
          <w:color w:val="000000"/>
          <w:sz w:val="18"/>
          <w:szCs w:val="18"/>
          <w:vertAlign w:val="superscript"/>
        </w:rPr>
        <w:footnoteReference w:id="14"/>
      </w:r>
      <w:r w:rsidRPr="00E617E2">
        <w:rPr>
          <w:rFonts w:ascii="Arial" w:eastAsia="Calibri" w:hAnsi="Arial" w:cs="Arial"/>
          <w:color w:val="000000"/>
          <w:sz w:val="18"/>
          <w:szCs w:val="18"/>
        </w:rPr>
        <w:t xml:space="preserve"> Yet, while it transitions its business away from fossil fuels, our Company’s 401(k) retirement plan (“Plan”) invests significantly in companies that contribute to climate change, jeopardizing workers’ life savings.</w:t>
      </w:r>
    </w:p>
    <w:p w14:paraId="7B15190F" w14:textId="77777777" w:rsidR="00E617E2" w:rsidRPr="00E617E2" w:rsidRDefault="00E617E2" w:rsidP="00E617E2">
      <w:pPr>
        <w:spacing w:after="80"/>
        <w:ind w:right="783"/>
        <w:rPr>
          <w:rFonts w:ascii="Arial" w:eastAsia="Calibri" w:hAnsi="Arial" w:cs="Arial"/>
          <w:color w:val="000000"/>
          <w:sz w:val="18"/>
          <w:szCs w:val="18"/>
        </w:rPr>
      </w:pPr>
      <w:r w:rsidRPr="00E617E2">
        <w:rPr>
          <w:rFonts w:ascii="Arial" w:eastAsia="Calibri" w:hAnsi="Arial" w:cs="Arial"/>
          <w:color w:val="000000"/>
          <w:sz w:val="18"/>
          <w:szCs w:val="18"/>
        </w:rPr>
        <w:t xml:space="preserve">Microsoft offers plan participants BlackRock </w:t>
      </w:r>
      <w:proofErr w:type="spellStart"/>
      <w:r w:rsidRPr="00E617E2">
        <w:rPr>
          <w:rFonts w:ascii="Arial" w:eastAsia="Calibri" w:hAnsi="Arial" w:cs="Arial"/>
          <w:color w:val="000000"/>
          <w:sz w:val="18"/>
          <w:szCs w:val="18"/>
        </w:rPr>
        <w:t>LifePath</w:t>
      </w:r>
      <w:proofErr w:type="spellEnd"/>
      <w:r w:rsidRPr="00E617E2">
        <w:rPr>
          <w:rFonts w:ascii="Arial" w:eastAsia="Calibri" w:hAnsi="Arial" w:cs="Arial"/>
          <w:color w:val="000000"/>
          <w:sz w:val="18"/>
          <w:szCs w:val="18"/>
        </w:rPr>
        <w:t xml:space="preserve"> funds, which collectively hold the largest segment — 26% — of Plan assets.</w:t>
      </w:r>
      <w:r w:rsidRPr="00E617E2">
        <w:rPr>
          <w:rFonts w:ascii="Arial" w:eastAsia="Calibri" w:hAnsi="Arial" w:cs="Arial"/>
          <w:color w:val="000000"/>
          <w:sz w:val="18"/>
          <w:szCs w:val="18"/>
          <w:vertAlign w:val="superscript"/>
        </w:rPr>
        <w:footnoteReference w:id="15"/>
      </w:r>
      <w:r w:rsidRPr="00E617E2">
        <w:rPr>
          <w:rFonts w:ascii="Arial" w:eastAsia="Calibri" w:hAnsi="Arial" w:cs="Arial"/>
          <w:color w:val="000000"/>
          <w:sz w:val="18"/>
          <w:szCs w:val="18"/>
        </w:rPr>
        <w:t xml:space="preserve"> These target retirement funds invest significantly in fossil fuel companies and companies contributing to deforestation.</w:t>
      </w:r>
      <w:r w:rsidRPr="00E617E2">
        <w:rPr>
          <w:rFonts w:ascii="Arial" w:eastAsia="Calibri" w:hAnsi="Arial" w:cs="Arial"/>
          <w:color w:val="000000"/>
          <w:sz w:val="18"/>
          <w:szCs w:val="18"/>
          <w:vertAlign w:val="superscript"/>
        </w:rPr>
        <w:footnoteReference w:id="16"/>
      </w:r>
      <w:r w:rsidRPr="00E617E2">
        <w:rPr>
          <w:rFonts w:ascii="Arial" w:eastAsia="Calibri" w:hAnsi="Arial" w:cs="Arial"/>
          <w:color w:val="000000"/>
          <w:sz w:val="18"/>
          <w:szCs w:val="18"/>
        </w:rPr>
        <w:t xml:space="preserve"> By investing employees’ retirement savings in companies with outsized contributions to climate change, Microsoft is generating climate risk in workers’ portfolios, including both transition risk as markets shift towards a low carbon economy and long-term systemic portfolio risk.</w:t>
      </w:r>
    </w:p>
    <w:p w14:paraId="736F3E8B" w14:textId="77777777" w:rsidR="00E617E2" w:rsidRPr="00E617E2" w:rsidRDefault="00E617E2" w:rsidP="00E617E2">
      <w:pPr>
        <w:spacing w:after="80"/>
        <w:ind w:right="783"/>
        <w:rPr>
          <w:rFonts w:ascii="Arial" w:eastAsia="Calibri" w:hAnsi="Arial" w:cs="Arial"/>
          <w:color w:val="000000"/>
          <w:sz w:val="18"/>
          <w:szCs w:val="18"/>
        </w:rPr>
      </w:pPr>
      <w:r w:rsidRPr="00E617E2">
        <w:rPr>
          <w:rFonts w:ascii="Arial" w:eastAsia="Calibri" w:hAnsi="Arial" w:cs="Arial"/>
          <w:color w:val="000000"/>
          <w:sz w:val="18"/>
          <w:szCs w:val="18"/>
        </w:rPr>
        <w:t>Federal law requires the Board to monitor its appointed fiduciaries “to ensure that their performance . . . satisfies the needs of the plan.”</w:t>
      </w:r>
      <w:r w:rsidRPr="00E617E2">
        <w:rPr>
          <w:rFonts w:ascii="Arial" w:eastAsia="Calibri" w:hAnsi="Arial" w:cs="Arial"/>
          <w:color w:val="000000"/>
          <w:sz w:val="18"/>
          <w:szCs w:val="18"/>
          <w:vertAlign w:val="superscript"/>
        </w:rPr>
        <w:footnoteReference w:id="17"/>
      </w:r>
      <w:r w:rsidRPr="00E617E2">
        <w:rPr>
          <w:rFonts w:ascii="Arial" w:eastAsia="Calibri" w:hAnsi="Arial" w:cs="Arial"/>
          <w:color w:val="000000"/>
          <w:sz w:val="18"/>
          <w:szCs w:val="18"/>
        </w:rPr>
        <w:t xml:space="preserve"> The Plan’s fiduciaries must act in the best interest of their beneficiaries by considering all material risk, including climate risk, which the federal government has recently clarified is an appropriate consideration for fiduciaries.</w:t>
      </w:r>
      <w:r w:rsidRPr="00E617E2">
        <w:rPr>
          <w:rFonts w:ascii="Arial" w:eastAsia="Calibri" w:hAnsi="Arial" w:cs="Arial"/>
          <w:color w:val="000000"/>
          <w:sz w:val="18"/>
          <w:szCs w:val="18"/>
          <w:vertAlign w:val="superscript"/>
        </w:rPr>
        <w:footnoteReference w:id="18"/>
      </w:r>
      <w:r w:rsidRPr="00E617E2">
        <w:rPr>
          <w:rFonts w:ascii="Arial" w:eastAsia="Calibri" w:hAnsi="Arial" w:cs="Arial"/>
          <w:color w:val="000000"/>
          <w:sz w:val="18"/>
          <w:szCs w:val="18"/>
        </w:rPr>
        <w:t xml:space="preserve"> By failing to minimize climate risk, Microsoft’s current 401(k) options risk compromising its obligation to select retirement plan investment options in the best interests of its plan participants, particularly those with retirement dates more than a decade out.</w:t>
      </w:r>
    </w:p>
    <w:p w14:paraId="0DBF627F" w14:textId="77777777" w:rsidR="00E617E2" w:rsidRPr="00E617E2" w:rsidRDefault="00E617E2" w:rsidP="00E617E2">
      <w:pPr>
        <w:spacing w:after="80"/>
        <w:ind w:right="783"/>
        <w:rPr>
          <w:rFonts w:ascii="Arial" w:eastAsia="Calibri" w:hAnsi="Arial" w:cs="Arial"/>
          <w:color w:val="000000"/>
          <w:sz w:val="18"/>
          <w:szCs w:val="18"/>
        </w:rPr>
      </w:pPr>
      <w:r w:rsidRPr="00E617E2">
        <w:rPr>
          <w:rFonts w:ascii="Arial" w:eastAsia="Calibri" w:hAnsi="Arial" w:cs="Arial"/>
          <w:color w:val="000000"/>
          <w:sz w:val="18"/>
          <w:szCs w:val="18"/>
        </w:rPr>
        <w:t>In the increasingly competitive employee recruitment and retention landscape, failing to minimize material climate risk in its 401(k) plan options may make it more difficult for Microsoft to attract and retain top talent. Employee polling indicates that firms’ environmental records are an important consideration in choosing a job.</w:t>
      </w:r>
      <w:r w:rsidRPr="00E617E2">
        <w:rPr>
          <w:rFonts w:ascii="Arial" w:eastAsia="Calibri" w:hAnsi="Arial" w:cs="Arial"/>
          <w:color w:val="000000"/>
          <w:sz w:val="18"/>
          <w:szCs w:val="18"/>
          <w:vertAlign w:val="superscript"/>
        </w:rPr>
        <w:footnoteReference w:id="19"/>
      </w:r>
      <w:r w:rsidRPr="00E617E2">
        <w:rPr>
          <w:rFonts w:ascii="Arial" w:eastAsia="Calibri" w:hAnsi="Arial" w:cs="Arial"/>
          <w:color w:val="000000"/>
          <w:sz w:val="18"/>
          <w:szCs w:val="18"/>
        </w:rPr>
        <w:t xml:space="preserve"> Employee polling also reveals increasing demand for climate-safe retirement plan options.</w:t>
      </w:r>
      <w:r w:rsidRPr="00E617E2">
        <w:rPr>
          <w:rFonts w:ascii="Arial" w:eastAsia="Calibri" w:hAnsi="Arial" w:cs="Arial"/>
          <w:color w:val="000000"/>
          <w:sz w:val="18"/>
          <w:szCs w:val="18"/>
          <w:vertAlign w:val="superscript"/>
        </w:rPr>
        <w:footnoteReference w:id="20"/>
      </w:r>
    </w:p>
    <w:p w14:paraId="02324954" w14:textId="77777777" w:rsidR="00E617E2" w:rsidRPr="00E617E2" w:rsidRDefault="00E617E2" w:rsidP="00E617E2">
      <w:pPr>
        <w:spacing w:after="80"/>
        <w:ind w:right="783"/>
        <w:rPr>
          <w:rFonts w:ascii="Arial" w:eastAsia="Calibri" w:hAnsi="Arial" w:cs="Arial"/>
          <w:color w:val="000000"/>
          <w:sz w:val="20"/>
        </w:rPr>
      </w:pPr>
      <w:r w:rsidRPr="00E617E2">
        <w:rPr>
          <w:rFonts w:ascii="Arial" w:eastAsia="Calibri" w:hAnsi="Arial" w:cs="Arial"/>
          <w:color w:val="000000"/>
          <w:sz w:val="18"/>
          <w:szCs w:val="18"/>
        </w:rPr>
        <w:t>Given the threat that climate change poses to employees’ life savings, our Company can help ensure employee loyalty and satisfaction, and demonstrate that it is actively safeguarding all employees’ retirement savings by minimizing climate risk in its Plan offerings.</w:t>
      </w:r>
    </w:p>
    <w:p w14:paraId="5E33CEEA" w14:textId="77777777" w:rsidR="00E617E2" w:rsidRPr="00E617E2" w:rsidRDefault="00E617E2" w:rsidP="00E617E2">
      <w:pPr>
        <w:spacing w:after="80"/>
        <w:ind w:right="783"/>
        <w:rPr>
          <w:rFonts w:ascii="Arial" w:eastAsia="Calibri" w:hAnsi="Arial" w:cs="Arial"/>
          <w:color w:val="000000"/>
          <w:sz w:val="18"/>
          <w:szCs w:val="18"/>
        </w:rPr>
      </w:pPr>
      <w:r w:rsidRPr="00E617E2">
        <w:rPr>
          <w:rFonts w:ascii="Arial" w:eastAsia="Calibri" w:hAnsi="Arial" w:cs="Arial"/>
          <w:b/>
          <w:color w:val="000000"/>
          <w:sz w:val="18"/>
          <w:szCs w:val="18"/>
        </w:rPr>
        <w:t>BE IT RESOLVED</w:t>
      </w:r>
      <w:proofErr w:type="gramStart"/>
      <w:r w:rsidRPr="00E617E2">
        <w:rPr>
          <w:rFonts w:ascii="Arial" w:eastAsia="Calibri" w:hAnsi="Arial" w:cs="Arial"/>
          <w:b/>
          <w:color w:val="000000"/>
          <w:sz w:val="18"/>
          <w:szCs w:val="18"/>
        </w:rPr>
        <w:t>:</w:t>
      </w:r>
      <w:r w:rsidRPr="00E617E2">
        <w:rPr>
          <w:rFonts w:ascii="Arial" w:eastAsia="Calibri" w:hAnsi="Arial" w:cs="Arial"/>
          <w:color w:val="000000"/>
          <w:sz w:val="18"/>
          <w:szCs w:val="18"/>
        </w:rPr>
        <w:t xml:space="preserve">  Shareholders</w:t>
      </w:r>
      <w:proofErr w:type="gramEnd"/>
      <w:r w:rsidRPr="00E617E2">
        <w:rPr>
          <w:rFonts w:ascii="Arial" w:eastAsia="Calibri" w:hAnsi="Arial" w:cs="Arial"/>
          <w:color w:val="000000"/>
          <w:sz w:val="18"/>
          <w:szCs w:val="18"/>
        </w:rPr>
        <w:t xml:space="preserve"> request Microsoft publish a report, at reasonable expense and omitting confidential information, disclosing how the Company is protecting Plan beneficiaries with a longer investment time horizon from the increased future portfolio risk created by present-day investments in high-carbon companies.</w:t>
      </w:r>
    </w:p>
    <w:p w14:paraId="0495D815" w14:textId="77777777" w:rsidR="00E617E2" w:rsidRPr="00E617E2" w:rsidRDefault="00E617E2" w:rsidP="00E617E2">
      <w:pPr>
        <w:spacing w:after="80"/>
        <w:ind w:right="783"/>
        <w:rPr>
          <w:rFonts w:ascii="Arial" w:eastAsia="Calibri" w:hAnsi="Arial" w:cs="Arial"/>
          <w:color w:val="000000"/>
          <w:sz w:val="18"/>
          <w:szCs w:val="18"/>
        </w:rPr>
      </w:pPr>
      <w:r w:rsidRPr="00E617E2">
        <w:rPr>
          <w:rFonts w:ascii="Arial" w:eastAsia="Calibri" w:hAnsi="Arial" w:cs="Arial"/>
          <w:b/>
          <w:color w:val="000000"/>
          <w:sz w:val="18"/>
          <w:szCs w:val="18"/>
        </w:rPr>
        <w:t>SUPPORTING STATEMENT</w:t>
      </w:r>
      <w:r w:rsidRPr="00E617E2">
        <w:rPr>
          <w:rFonts w:ascii="Arial" w:eastAsia="Calibri" w:hAnsi="Arial" w:cs="Arial"/>
          <w:color w:val="000000"/>
          <w:sz w:val="18"/>
          <w:szCs w:val="18"/>
        </w:rPr>
        <w:t>: The report should include, at Board discretion, an analysis of:</w:t>
      </w:r>
    </w:p>
    <w:p w14:paraId="038F456B" w14:textId="77777777" w:rsidR="00E617E2" w:rsidRPr="00E617E2" w:rsidRDefault="00E617E2" w:rsidP="00E617E2">
      <w:pPr>
        <w:numPr>
          <w:ilvl w:val="0"/>
          <w:numId w:val="16"/>
        </w:numPr>
        <w:spacing w:after="80"/>
        <w:ind w:right="543"/>
        <w:contextualSpacing/>
        <w:rPr>
          <w:rFonts w:ascii="Arial" w:eastAsia="Calibri" w:hAnsi="Arial" w:cs="Arial"/>
          <w:color w:val="000000"/>
          <w:sz w:val="18"/>
          <w:szCs w:val="18"/>
        </w:rPr>
      </w:pPr>
      <w:r w:rsidRPr="00E617E2">
        <w:rPr>
          <w:rFonts w:ascii="Arial" w:eastAsia="Calibri" w:hAnsi="Arial" w:cs="Arial"/>
          <w:color w:val="000000"/>
          <w:sz w:val="18"/>
          <w:szCs w:val="18"/>
        </w:rPr>
        <w:t>The degree to which carbon-intensive investments in the Company’s current retirement options contribute to greater beneficiary risk and reduced Plan performance over time; and</w:t>
      </w:r>
    </w:p>
    <w:p w14:paraId="2A66DEA8" w14:textId="77777777" w:rsidR="00E617E2" w:rsidRPr="00E617E2" w:rsidRDefault="00E617E2" w:rsidP="00E617E2">
      <w:pPr>
        <w:numPr>
          <w:ilvl w:val="0"/>
          <w:numId w:val="16"/>
        </w:numPr>
        <w:spacing w:after="80"/>
        <w:ind w:right="543"/>
        <w:contextualSpacing/>
        <w:rPr>
          <w:rFonts w:ascii="Arial" w:eastAsia="Calibri" w:hAnsi="Arial" w:cs="Arial"/>
          <w:color w:val="000000"/>
          <w:sz w:val="20"/>
        </w:rPr>
      </w:pPr>
      <w:r w:rsidRPr="00E617E2">
        <w:rPr>
          <w:rFonts w:ascii="Arial" w:eastAsia="Calibri" w:hAnsi="Arial" w:cs="Arial"/>
          <w:color w:val="000000"/>
          <w:sz w:val="18"/>
          <w:szCs w:val="18"/>
        </w:rPr>
        <w:t>Whether carbon-intensive investments in Plan investment options put younger beneficiaries’ savings at greater risk than participants closer to retirement.</w:t>
      </w:r>
    </w:p>
    <w:p w14:paraId="4778A321" w14:textId="77777777" w:rsidR="00E617E2" w:rsidRPr="00E617E2" w:rsidRDefault="00E617E2" w:rsidP="00E617E2">
      <w:pPr>
        <w:spacing w:after="219"/>
        <w:ind w:left="1461"/>
        <w:rPr>
          <w:rFonts w:ascii="Arial" w:eastAsia="Calibri" w:hAnsi="Arial" w:cs="Arial"/>
          <w:b/>
          <w:color w:val="000000"/>
          <w:sz w:val="20"/>
        </w:rPr>
      </w:pPr>
      <w:r w:rsidRPr="00E617E2">
        <w:rPr>
          <w:rFonts w:ascii="Arial" w:eastAsia="Calibri" w:hAnsi="Arial" w:cs="Arial"/>
          <w:b/>
          <w:color w:val="000000"/>
          <w:sz w:val="20"/>
        </w:rPr>
        <w:t xml:space="preserve"> </w:t>
      </w:r>
    </w:p>
    <w:p w14:paraId="7A17097E" w14:textId="77777777" w:rsidR="00E617E2" w:rsidRPr="00E617E2" w:rsidRDefault="00E617E2" w:rsidP="00E617E2">
      <w:pPr>
        <w:rPr>
          <w:rFonts w:ascii="Arial" w:eastAsia="Calibri" w:hAnsi="Arial" w:cs="Arial"/>
          <w:b/>
          <w:color w:val="000000"/>
          <w:sz w:val="20"/>
        </w:rPr>
      </w:pPr>
      <w:r w:rsidRPr="00E617E2">
        <w:rPr>
          <w:rFonts w:ascii="Arial" w:eastAsia="Calibri" w:hAnsi="Arial" w:cs="Arial"/>
          <w:b/>
          <w:color w:val="000000"/>
          <w:sz w:val="20"/>
        </w:rPr>
        <w:br w:type="page"/>
      </w:r>
    </w:p>
    <w:p w14:paraId="60D4252D" w14:textId="77777777" w:rsidR="00E617E2" w:rsidRPr="00E617E2" w:rsidRDefault="00E617E2" w:rsidP="00E617E2">
      <w:pPr>
        <w:spacing w:before="120" w:after="120"/>
        <w:rPr>
          <w:rFonts w:ascii="Arial" w:hAnsi="Arial" w:cs="Arial"/>
          <w:sz w:val="20"/>
        </w:rPr>
      </w:pPr>
      <w:r w:rsidRPr="00E617E2">
        <w:rPr>
          <w:rFonts w:ascii="Arial" w:hAnsi="Arial" w:cs="Arial"/>
          <w:b/>
          <w:bCs/>
          <w:color w:val="0075C9"/>
          <w:sz w:val="20"/>
        </w:rPr>
        <w:lastRenderedPageBreak/>
        <w:t xml:space="preserve">Board Recommendation </w:t>
      </w:r>
    </w:p>
    <w:p w14:paraId="45A319AC" w14:textId="77777777" w:rsidR="00E617E2" w:rsidRPr="00E617E2" w:rsidRDefault="00E617E2" w:rsidP="00E617E2">
      <w:pPr>
        <w:keepNext/>
        <w:spacing w:before="120" w:after="120"/>
        <w:rPr>
          <w:rFonts w:ascii="Arial" w:hAnsi="Arial" w:cs="Arial"/>
          <w:sz w:val="20"/>
        </w:rPr>
      </w:pPr>
      <w:r w:rsidRPr="00E617E2">
        <w:rPr>
          <w:rFonts w:ascii="Arial" w:hAnsi="Arial" w:cs="Arial"/>
          <w:b/>
          <w:bCs/>
          <w:i/>
          <w:iCs/>
          <w:color w:val="0075C9"/>
          <w:sz w:val="20"/>
        </w:rPr>
        <w:t xml:space="preserve">The Board of Directors recommends a vote AGAINST the proposal for the following reasons: </w:t>
      </w:r>
    </w:p>
    <w:p w14:paraId="1D1CABA9" w14:textId="77777777" w:rsidR="00E617E2" w:rsidRPr="00E617E2" w:rsidRDefault="00E617E2" w:rsidP="00E617E2">
      <w:pPr>
        <w:keepNext/>
        <w:spacing w:before="120" w:after="120"/>
        <w:rPr>
          <w:rFonts w:ascii="Arial" w:hAnsi="Arial" w:cs="Arial"/>
          <w:sz w:val="20"/>
        </w:rPr>
      </w:pPr>
      <w:r w:rsidRPr="00E617E2">
        <w:rPr>
          <w:rFonts w:ascii="Arial" w:hAnsi="Arial" w:cs="Arial"/>
          <w:b/>
          <w:bCs/>
          <w:sz w:val="20"/>
        </w:rPr>
        <w:t xml:space="preserve">COMPANY STATEMENT IN OPPOSITION </w:t>
      </w:r>
    </w:p>
    <w:p w14:paraId="6FF23381" w14:textId="77777777" w:rsidR="00E617E2" w:rsidRPr="00E617E2" w:rsidRDefault="00E617E2" w:rsidP="00E617E2">
      <w:pPr>
        <w:spacing w:before="80"/>
        <w:rPr>
          <w:rFonts w:ascii="Arial" w:hAnsi="Arial" w:cs="Arial"/>
          <w:sz w:val="18"/>
          <w:szCs w:val="18"/>
        </w:rPr>
      </w:pPr>
      <w:r w:rsidRPr="00E617E2">
        <w:rPr>
          <w:rFonts w:ascii="Arial" w:hAnsi="Arial" w:cs="Arial"/>
          <w:sz w:val="18"/>
          <w:szCs w:val="18"/>
        </w:rPr>
        <w:t>This proposal mischaracterizes the operation of Microsoft’s 401(k) plan, over-simplifies or disregards the strict fiduciary framework to which the plan is subject under applicable law, and minimizes the efforts made to offer plan participants a broad range of investment options, including those that account for Environmental, Social, and Governance (“ESG”) factors, within that framework. We do not believe the proposed resolution for Microsoft to provide the requested report is the appropriate mechanism to ensure the prudent ongoing stewardship of the plan, in accordance with applicable law.</w:t>
      </w:r>
    </w:p>
    <w:p w14:paraId="39AED626" w14:textId="77777777" w:rsidR="00E617E2" w:rsidRPr="00E617E2" w:rsidRDefault="00E617E2" w:rsidP="00E617E2">
      <w:pPr>
        <w:spacing w:before="80"/>
        <w:rPr>
          <w:rFonts w:ascii="Arial" w:hAnsi="Arial" w:cs="Arial"/>
          <w:sz w:val="18"/>
          <w:szCs w:val="18"/>
        </w:rPr>
      </w:pPr>
      <w:r w:rsidRPr="00E617E2">
        <w:rPr>
          <w:rFonts w:ascii="Arial" w:hAnsi="Arial" w:cs="Arial"/>
          <w:sz w:val="18"/>
          <w:szCs w:val="18"/>
        </w:rPr>
        <w:t xml:space="preserve">Microsoft’s 401(k) plan is overseen by a management-level fiduciary committee, which utilizes several investment advisors, including a third-party fiduciary investment consultant. The committee has worked diligently to offer participants a broad range of investment strategies across different asset classes and investment styles, to allow participants to diversify their investments and pursue their individual retirement objectives based on their own risk tolerance. This includes access to investment options that </w:t>
      </w:r>
      <w:proofErr w:type="gramStart"/>
      <w:r w:rsidRPr="00E617E2">
        <w:rPr>
          <w:rFonts w:ascii="Arial" w:hAnsi="Arial" w:cs="Arial"/>
          <w:sz w:val="18"/>
          <w:szCs w:val="18"/>
        </w:rPr>
        <w:t>take into account</w:t>
      </w:r>
      <w:proofErr w:type="gramEnd"/>
      <w:r w:rsidRPr="00E617E2">
        <w:rPr>
          <w:rFonts w:ascii="Arial" w:hAnsi="Arial" w:cs="Arial"/>
          <w:sz w:val="18"/>
          <w:szCs w:val="18"/>
        </w:rPr>
        <w:t xml:space="preserve"> or specifically focus on green energy and climate solutions, in accordance with the committee’s fiduciary duties.</w:t>
      </w:r>
    </w:p>
    <w:p w14:paraId="035A3412" w14:textId="77777777" w:rsidR="00E617E2" w:rsidRPr="00E617E2" w:rsidRDefault="00E617E2" w:rsidP="00E617E2">
      <w:pPr>
        <w:spacing w:before="80"/>
        <w:rPr>
          <w:rFonts w:ascii="Arial" w:hAnsi="Arial" w:cs="Arial"/>
          <w:sz w:val="18"/>
          <w:szCs w:val="18"/>
        </w:rPr>
      </w:pPr>
      <w:r w:rsidRPr="00E617E2">
        <w:rPr>
          <w:rFonts w:ascii="Arial" w:hAnsi="Arial" w:cs="Arial"/>
          <w:sz w:val="18"/>
          <w:szCs w:val="18"/>
        </w:rPr>
        <w:t xml:space="preserve">The proposal incorrectly asserts or implies that </w:t>
      </w:r>
      <w:r w:rsidRPr="00E617E2">
        <w:rPr>
          <w:rFonts w:ascii="Arial" w:hAnsi="Arial" w:cs="Arial"/>
          <w:i/>
          <w:iCs/>
          <w:sz w:val="18"/>
          <w:szCs w:val="18"/>
        </w:rPr>
        <w:t>Microsoft</w:t>
      </w:r>
      <w:r w:rsidRPr="00E617E2">
        <w:rPr>
          <w:rFonts w:ascii="Arial" w:hAnsi="Arial" w:cs="Arial"/>
          <w:sz w:val="18"/>
          <w:szCs w:val="18"/>
        </w:rPr>
        <w:t xml:space="preserve"> is “investing employees’ retirement savings” in the BlackRock </w:t>
      </w:r>
      <w:proofErr w:type="spellStart"/>
      <w:r w:rsidRPr="00E617E2">
        <w:rPr>
          <w:rFonts w:ascii="Arial" w:hAnsi="Arial" w:cs="Arial"/>
          <w:sz w:val="18"/>
          <w:szCs w:val="18"/>
        </w:rPr>
        <w:t>LifePath</w:t>
      </w:r>
      <w:proofErr w:type="spellEnd"/>
      <w:r w:rsidRPr="00E617E2">
        <w:rPr>
          <w:rFonts w:ascii="Arial" w:hAnsi="Arial" w:cs="Arial"/>
          <w:sz w:val="18"/>
          <w:szCs w:val="18"/>
        </w:rPr>
        <w:t xml:space="preserve"> target date funds, or certain other available strategies, which allegedly make outsized contributions to climate change. To the contrary, almost all participants in the plan are required to affirmatively elect their own investments amongst a broad range of diverse strategies. Indeed, as the proposal itself acknowledges, the vast majority of plan assets currently </w:t>
      </w:r>
      <w:r w:rsidRPr="00E617E2">
        <w:rPr>
          <w:rFonts w:ascii="Arial" w:hAnsi="Arial" w:cs="Arial"/>
          <w:i/>
          <w:iCs/>
          <w:sz w:val="18"/>
          <w:szCs w:val="18"/>
        </w:rPr>
        <w:t>are not</w:t>
      </w:r>
      <w:r w:rsidRPr="00E617E2">
        <w:rPr>
          <w:rFonts w:ascii="Arial" w:hAnsi="Arial" w:cs="Arial"/>
          <w:sz w:val="18"/>
          <w:szCs w:val="18"/>
        </w:rPr>
        <w:t xml:space="preserve"> invested in the BlackRock </w:t>
      </w:r>
      <w:proofErr w:type="spellStart"/>
      <w:r w:rsidRPr="00E617E2">
        <w:rPr>
          <w:rFonts w:ascii="Arial" w:hAnsi="Arial" w:cs="Arial"/>
          <w:sz w:val="18"/>
          <w:szCs w:val="18"/>
        </w:rPr>
        <w:t>LifePath</w:t>
      </w:r>
      <w:proofErr w:type="spellEnd"/>
      <w:r w:rsidRPr="00E617E2">
        <w:rPr>
          <w:rFonts w:ascii="Arial" w:hAnsi="Arial" w:cs="Arial"/>
          <w:sz w:val="18"/>
          <w:szCs w:val="18"/>
        </w:rPr>
        <w:t xml:space="preserve"> funds. The Microsoft 401(k) plan offers a carefully curated and closely monitored investment lineup, in accordance with the strict fiduciary requirements imposed by the Employee Retirement Income Security Act of 1974 (“ERISA”), as implemented by Department of Labor regulations and guidance. </w:t>
      </w:r>
    </w:p>
    <w:p w14:paraId="368C35DC" w14:textId="77777777" w:rsidR="00E617E2" w:rsidRPr="00E617E2" w:rsidRDefault="00E617E2" w:rsidP="00E617E2">
      <w:pPr>
        <w:spacing w:before="80"/>
        <w:rPr>
          <w:rFonts w:ascii="Arial" w:hAnsi="Arial" w:cs="Arial"/>
          <w:sz w:val="18"/>
          <w:szCs w:val="18"/>
        </w:rPr>
      </w:pPr>
      <w:r w:rsidRPr="00E617E2">
        <w:rPr>
          <w:rFonts w:ascii="Arial" w:hAnsi="Arial" w:cs="Arial"/>
          <w:sz w:val="18"/>
          <w:szCs w:val="18"/>
        </w:rPr>
        <w:t>In November 2022, the Department of Labor issued amended final rules relating to fiduciaries’ consideration of ESG or other factors in selecting plan investment alternatives.</w:t>
      </w:r>
      <w:r w:rsidRPr="00E617E2">
        <w:rPr>
          <w:rFonts w:ascii="Arial" w:hAnsi="Arial" w:cs="Arial"/>
          <w:sz w:val="18"/>
          <w:szCs w:val="18"/>
          <w:vertAlign w:val="superscript"/>
        </w:rPr>
        <w:footnoteReference w:id="21"/>
      </w:r>
      <w:r w:rsidRPr="00E617E2">
        <w:rPr>
          <w:rFonts w:ascii="Arial" w:hAnsi="Arial" w:cs="Arial"/>
          <w:sz w:val="18"/>
          <w:szCs w:val="18"/>
        </w:rPr>
        <w:t xml:space="preserve"> In accordance with those rules, the plan’s governing investment guidelines provide maximum flexibility under the law with regard to the consideration of ESG and other factors. The plan’s fiduciary committee is committed to evaluating plan offerings on an ongoing basis with due consideration of any changes in the law and the investment marketplace as a whole. </w:t>
      </w:r>
    </w:p>
    <w:p w14:paraId="3BFB0FEA" w14:textId="77777777" w:rsidR="00E617E2" w:rsidRPr="00E617E2" w:rsidRDefault="00E617E2" w:rsidP="00E617E2">
      <w:pPr>
        <w:spacing w:before="80"/>
        <w:rPr>
          <w:rFonts w:ascii="Arial" w:hAnsi="Arial" w:cs="Arial"/>
          <w:sz w:val="18"/>
          <w:szCs w:val="18"/>
        </w:rPr>
      </w:pPr>
      <w:r w:rsidRPr="00E617E2">
        <w:rPr>
          <w:rFonts w:ascii="Arial" w:hAnsi="Arial" w:cs="Arial"/>
          <w:sz w:val="18"/>
          <w:szCs w:val="18"/>
        </w:rPr>
        <w:t xml:space="preserve">Of </w:t>
      </w:r>
      <w:proofErr w:type="gramStart"/>
      <w:r w:rsidRPr="00E617E2">
        <w:rPr>
          <w:rFonts w:ascii="Arial" w:hAnsi="Arial" w:cs="Arial"/>
          <w:sz w:val="18"/>
          <w:szCs w:val="18"/>
        </w:rPr>
        <w:t>note</w:t>
      </w:r>
      <w:proofErr w:type="gramEnd"/>
      <w:r w:rsidRPr="00E617E2">
        <w:rPr>
          <w:rFonts w:ascii="Arial" w:hAnsi="Arial" w:cs="Arial"/>
          <w:sz w:val="18"/>
          <w:szCs w:val="18"/>
        </w:rPr>
        <w:t>, nearly all of the investment managers for funds offered in the Microsoft 401(k) plan’s core lineup are signatories to the UN Principles on Responsible Investment, and all plan investments already incorporate ESG factors into their investment process and practices, to varying extents.</w:t>
      </w:r>
    </w:p>
    <w:p w14:paraId="299E596E" w14:textId="77777777" w:rsidR="00E617E2" w:rsidRPr="00E617E2" w:rsidRDefault="00E617E2" w:rsidP="00E617E2">
      <w:pPr>
        <w:spacing w:before="80"/>
        <w:rPr>
          <w:rFonts w:ascii="Arial" w:hAnsi="Arial" w:cs="Arial"/>
          <w:sz w:val="18"/>
          <w:szCs w:val="18"/>
        </w:rPr>
      </w:pPr>
      <w:r w:rsidRPr="00E617E2">
        <w:rPr>
          <w:rFonts w:ascii="Arial" w:hAnsi="Arial" w:cs="Arial"/>
          <w:sz w:val="18"/>
          <w:szCs w:val="18"/>
        </w:rPr>
        <w:t>Recognizing the diverse interests of employees and participants in having access to a wide range of additional investment options and strategies, including funds focused on green energy and other ESG initiatives, the Microsoft 401(k) plan’s self-directed brokerage window offers hundreds of ESG-themed options. The plan also has made a number of enhancements to streamline and simplify the process for enrolling in the self-directed brokerage window and filtering available investment options to identify those that are classified as ESG-themed. For example, Microsoft worked with the plan’s recordkeeper to facilitate a one-click search tool to identify the numerous available “Socially Responsible Investment” options, and regular email communications to plan participants specifically call out that tool as a resource.</w:t>
      </w:r>
    </w:p>
    <w:p w14:paraId="3AD98722" w14:textId="77777777" w:rsidR="00E617E2" w:rsidRPr="00E617E2" w:rsidRDefault="00E617E2" w:rsidP="00E617E2">
      <w:pPr>
        <w:spacing w:before="80"/>
        <w:rPr>
          <w:rFonts w:ascii="Arial" w:hAnsi="Arial" w:cs="Arial"/>
          <w:sz w:val="20"/>
        </w:rPr>
      </w:pPr>
      <w:r w:rsidRPr="00E617E2">
        <w:rPr>
          <w:rFonts w:ascii="Arial" w:hAnsi="Arial" w:cs="Arial"/>
          <w:sz w:val="18"/>
          <w:szCs w:val="18"/>
        </w:rPr>
        <w:t xml:space="preserve">In summary, the Microsoft 401(k) plan offers participants a broad range of core investment options in accordance with prevailing ERISA fiduciary standards, and all investment managers for those offerings analyze ESG factors in their investment process and practices. The plan also allows participants to choose from a wide range of other investment alternatives, including hundreds of climate-friendly and other ESG-themed options that can be easily identified and filtered, via the self-directed brokerage window. The proposal does not account for the current operations of the Microsoft 401(k) plan or the strict fiduciary framework under ERISA. Moreover, the requested report would require an unnecessary expenditure of company resources, and would not affect the menu of funds actually available for selection in the plan. </w:t>
      </w:r>
    </w:p>
    <w:p w14:paraId="462209B4" w14:textId="77777777" w:rsidR="00E617E2" w:rsidRPr="00E617E2" w:rsidRDefault="00E617E2" w:rsidP="00E617E2">
      <w:pPr>
        <w:rPr>
          <w:rFonts w:ascii="Arial" w:hAnsi="Arial" w:cs="Arial"/>
          <w:sz w:val="20"/>
        </w:rPr>
      </w:pPr>
    </w:p>
    <w:p w14:paraId="22DB1CE1" w14:textId="77777777" w:rsidR="00E617E2" w:rsidRPr="00E617E2" w:rsidRDefault="00E617E2" w:rsidP="00E617E2">
      <w:pPr>
        <w:spacing w:before="120"/>
        <w:rPr>
          <w:rFonts w:ascii="Arial" w:hAnsi="Arial" w:cs="Arial"/>
          <w:sz w:val="20"/>
        </w:rPr>
      </w:pPr>
    </w:p>
    <w:p w14:paraId="4AEF9916" w14:textId="77777777" w:rsidR="00E617E2" w:rsidRPr="00E617E2" w:rsidRDefault="00E617E2" w:rsidP="00E617E2">
      <w:pPr>
        <w:keepNext/>
        <w:rPr>
          <w:rFonts w:ascii="Arial" w:hAnsi="Arial" w:cs="Arial"/>
          <w:b/>
          <w:bCs/>
          <w:color w:val="0075C9"/>
          <w:sz w:val="20"/>
        </w:rPr>
        <w:sectPr w:rsidR="00E617E2" w:rsidRPr="00E617E2" w:rsidSect="004929E2">
          <w:footnotePr>
            <w:numRestart w:val="eachPage"/>
          </w:footnotePr>
          <w:pgSz w:w="12240" w:h="15840"/>
          <w:pgMar w:top="720" w:right="720" w:bottom="720" w:left="720" w:header="720" w:footer="720" w:gutter="0"/>
          <w:cols w:space="720"/>
          <w:docGrid w:linePitch="360"/>
        </w:sectPr>
      </w:pPr>
    </w:p>
    <w:p w14:paraId="64D0C76B" w14:textId="77777777" w:rsidR="00E617E2" w:rsidRPr="00E617E2" w:rsidRDefault="00E617E2" w:rsidP="00E617E2">
      <w:pPr>
        <w:spacing w:after="80"/>
        <w:ind w:left="14"/>
        <w:rPr>
          <w:rFonts w:ascii="Arial" w:hAnsi="Arial" w:cs="Arial"/>
          <w:b/>
          <w:bCs/>
          <w:szCs w:val="24"/>
        </w:rPr>
      </w:pPr>
      <w:r w:rsidRPr="00E617E2">
        <w:rPr>
          <w:rFonts w:ascii="Arial" w:eastAsiaTheme="minorHAnsi" w:hAnsi="Arial" w:cs="Arial"/>
          <w:b/>
          <w:bCs/>
          <w:kern w:val="2"/>
          <w:szCs w:val="24"/>
          <w14:ligatures w14:val="standardContextual"/>
        </w:rPr>
        <w:lastRenderedPageBreak/>
        <w:t xml:space="preserve">Proposal 10: </w:t>
      </w:r>
      <w:r w:rsidRPr="00E617E2">
        <w:rPr>
          <w:rFonts w:ascii="Arial" w:hAnsi="Arial" w:cs="Arial"/>
          <w:b/>
          <w:bCs/>
          <w:szCs w:val="24"/>
        </w:rPr>
        <w:t>Report on Tax Transparency</w:t>
      </w:r>
      <w:r w:rsidRPr="00E617E2">
        <w:rPr>
          <w:rFonts w:ascii="Arial" w:eastAsiaTheme="minorHAnsi" w:hAnsi="Arial" w:cs="Arial"/>
          <w:b/>
          <w:bCs/>
          <w:kern w:val="2"/>
          <w:szCs w:val="24"/>
          <w14:ligatures w14:val="standardContextual"/>
        </w:rPr>
        <w:t xml:space="preserve"> </w:t>
      </w:r>
      <w:r w:rsidRPr="00E617E2">
        <w:rPr>
          <w:rFonts w:ascii="Arial" w:hAnsi="Arial" w:cs="Arial"/>
          <w:b/>
          <w:bCs/>
          <w:szCs w:val="24"/>
        </w:rPr>
        <w:t>(Shareholder Proposal)</w:t>
      </w:r>
    </w:p>
    <w:p w14:paraId="387F3953" w14:textId="77777777" w:rsidR="00E617E2" w:rsidRPr="00E617E2" w:rsidRDefault="00E617E2" w:rsidP="00E617E2">
      <w:pPr>
        <w:spacing w:after="240"/>
        <w:ind w:left="14"/>
        <w:rPr>
          <w:rFonts w:ascii="Arial" w:eastAsia="Calibri" w:hAnsi="Arial" w:cs="Arial"/>
          <w:b/>
          <w:color w:val="000000"/>
          <w:sz w:val="18"/>
          <w:szCs w:val="18"/>
        </w:rPr>
      </w:pPr>
      <w:proofErr w:type="spellStart"/>
      <w:r w:rsidRPr="00E617E2">
        <w:rPr>
          <w:rFonts w:ascii="Arial" w:hAnsi="Arial" w:cs="Arial"/>
          <w:sz w:val="18"/>
          <w:szCs w:val="18"/>
        </w:rPr>
        <w:t>AkademikerPension</w:t>
      </w:r>
      <w:proofErr w:type="spellEnd"/>
      <w:r w:rsidRPr="00E617E2">
        <w:rPr>
          <w:rFonts w:ascii="Arial" w:hAnsi="Arial" w:cs="Arial"/>
          <w:sz w:val="18"/>
          <w:szCs w:val="18"/>
        </w:rPr>
        <w:t xml:space="preserve"> and co-filers have advised us that they intend to submit the following proposal for consideration at the Annual Meeting.</w:t>
      </w:r>
    </w:p>
    <w:p w14:paraId="03C6FCBF" w14:textId="77777777" w:rsidR="00E617E2" w:rsidRPr="00E617E2" w:rsidRDefault="00E617E2" w:rsidP="00E617E2">
      <w:pPr>
        <w:spacing w:after="120"/>
        <w:ind w:left="-5"/>
        <w:rPr>
          <w:rFonts w:ascii="Arial" w:eastAsia="Calibri" w:hAnsi="Arial" w:cs="Arial"/>
          <w:color w:val="000000"/>
          <w:sz w:val="18"/>
          <w:szCs w:val="18"/>
        </w:rPr>
      </w:pPr>
      <w:r w:rsidRPr="00E617E2">
        <w:rPr>
          <w:rFonts w:ascii="Arial" w:eastAsia="Calibri" w:hAnsi="Arial" w:cs="Arial"/>
          <w:b/>
          <w:color w:val="000000"/>
          <w:sz w:val="18"/>
          <w:szCs w:val="18"/>
        </w:rPr>
        <w:t xml:space="preserve">Tax Transparency </w:t>
      </w:r>
    </w:p>
    <w:p w14:paraId="03DAEBD4" w14:textId="77777777" w:rsidR="00E617E2" w:rsidRPr="00E617E2" w:rsidRDefault="00E617E2" w:rsidP="00E617E2">
      <w:pPr>
        <w:spacing w:after="120"/>
        <w:ind w:left="-5"/>
        <w:rPr>
          <w:rFonts w:ascii="Arial" w:eastAsia="Calibri" w:hAnsi="Arial" w:cs="Arial"/>
          <w:color w:val="000000"/>
          <w:sz w:val="18"/>
          <w:szCs w:val="18"/>
        </w:rPr>
      </w:pPr>
      <w:r w:rsidRPr="00E617E2">
        <w:rPr>
          <w:rFonts w:ascii="Arial" w:eastAsia="Calibri" w:hAnsi="Arial" w:cs="Arial"/>
          <w:b/>
          <w:color w:val="000000"/>
          <w:sz w:val="18"/>
          <w:szCs w:val="18"/>
        </w:rPr>
        <w:t xml:space="preserve">RESOLVED: </w:t>
      </w:r>
      <w:r w:rsidRPr="00E617E2">
        <w:rPr>
          <w:rFonts w:ascii="Arial" w:eastAsia="Calibri" w:hAnsi="Arial" w:cs="Arial"/>
          <w:color w:val="000000"/>
          <w:sz w:val="18"/>
          <w:szCs w:val="18"/>
        </w:rPr>
        <w:t xml:space="preserve">Shareholders request that the Board of Directors issue a tax transparency report to shareholders, at reasonable expense and excluding confidential information, prepared in consideration of the indicators and guidelines set forth in the Global Reporting Initiative’s (GRI) Tax Standard. </w:t>
      </w:r>
    </w:p>
    <w:p w14:paraId="0095DF96"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b/>
          <w:color w:val="000000"/>
          <w:sz w:val="18"/>
          <w:szCs w:val="18"/>
        </w:rPr>
        <w:t xml:space="preserve">Supporting Statement </w:t>
      </w:r>
    </w:p>
    <w:p w14:paraId="10AF407B"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Profit shifting by corporations is estimated to cost the US government $70 - 100 billion annually.</w:t>
      </w:r>
      <w:r w:rsidRPr="00E617E2">
        <w:rPr>
          <w:rFonts w:ascii="Arial" w:eastAsia="Calibri" w:hAnsi="Arial" w:cs="Arial"/>
          <w:color w:val="000000"/>
          <w:sz w:val="18"/>
          <w:szCs w:val="18"/>
          <w:vertAlign w:val="superscript"/>
        </w:rPr>
        <w:footnoteReference w:id="22"/>
      </w:r>
      <w:r w:rsidRPr="00E617E2">
        <w:rPr>
          <w:rFonts w:ascii="Arial" w:eastAsia="Calibri" w:hAnsi="Arial" w:cs="Arial"/>
          <w:color w:val="000000"/>
          <w:sz w:val="18"/>
          <w:szCs w:val="18"/>
        </w:rPr>
        <w:t xml:space="preserve"> Globally, the OECD estimates revenue losses of $100 – 240 billion.</w:t>
      </w:r>
      <w:r w:rsidRPr="00E617E2">
        <w:rPr>
          <w:rFonts w:ascii="Arial" w:eastAsia="Calibri" w:hAnsi="Arial" w:cs="Arial"/>
          <w:color w:val="000000"/>
          <w:sz w:val="18"/>
          <w:szCs w:val="18"/>
          <w:vertAlign w:val="superscript"/>
        </w:rPr>
        <w:footnoteReference w:id="23"/>
      </w:r>
      <w:r w:rsidRPr="00E617E2">
        <w:rPr>
          <w:rFonts w:ascii="Arial" w:eastAsia="Calibri" w:hAnsi="Arial" w:cs="Arial"/>
          <w:color w:val="000000"/>
          <w:sz w:val="18"/>
          <w:szCs w:val="18"/>
        </w:rPr>
        <w:t xml:space="preserve"> The PRI, representing investors with $89 trillion assets under management, states that tax avoidance is key driver of global inequality.</w:t>
      </w:r>
      <w:r w:rsidRPr="00E617E2">
        <w:rPr>
          <w:rFonts w:ascii="Arial" w:eastAsia="Calibri" w:hAnsi="Arial" w:cs="Arial"/>
          <w:color w:val="000000"/>
          <w:sz w:val="18"/>
          <w:szCs w:val="18"/>
          <w:vertAlign w:val="superscript"/>
        </w:rPr>
        <w:footnoteReference w:id="24"/>
      </w:r>
      <w:r w:rsidRPr="00E617E2">
        <w:rPr>
          <w:rFonts w:ascii="Arial" w:eastAsia="Calibri" w:hAnsi="Arial" w:cs="Arial"/>
          <w:color w:val="000000"/>
          <w:sz w:val="18"/>
          <w:szCs w:val="18"/>
          <w:vertAlign w:val="superscript"/>
        </w:rPr>
        <w:t xml:space="preserve"> </w:t>
      </w:r>
    </w:p>
    <w:p w14:paraId="2E4970FF"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In October 2021, 136 countries agreed to a framework for global tax reform.</w:t>
      </w:r>
      <w:r w:rsidRPr="00E617E2">
        <w:rPr>
          <w:rFonts w:ascii="Arial" w:eastAsia="Calibri" w:hAnsi="Arial" w:cs="Arial"/>
          <w:color w:val="000000"/>
          <w:sz w:val="18"/>
          <w:szCs w:val="18"/>
          <w:vertAlign w:val="superscript"/>
        </w:rPr>
        <w:footnoteReference w:id="25"/>
      </w:r>
      <w:r w:rsidRPr="00E617E2">
        <w:rPr>
          <w:rFonts w:ascii="Arial" w:eastAsia="Calibri" w:hAnsi="Arial" w:cs="Arial"/>
          <w:color w:val="000000"/>
          <w:sz w:val="18"/>
          <w:szCs w:val="18"/>
          <w:vertAlign w:val="superscript"/>
        </w:rPr>
        <w:t xml:space="preserve"> </w:t>
      </w:r>
      <w:r w:rsidRPr="00E617E2">
        <w:rPr>
          <w:rFonts w:ascii="Arial" w:eastAsia="Calibri" w:hAnsi="Arial" w:cs="Arial"/>
          <w:color w:val="000000"/>
          <w:sz w:val="18"/>
          <w:szCs w:val="18"/>
        </w:rPr>
        <w:t>In the US, increases in infrastructure and social spending are linked to tax reforms.</w:t>
      </w:r>
      <w:r w:rsidRPr="00E617E2">
        <w:rPr>
          <w:rFonts w:ascii="Arial" w:eastAsia="Calibri" w:hAnsi="Arial" w:cs="Arial"/>
          <w:color w:val="000000"/>
          <w:sz w:val="18"/>
          <w:szCs w:val="18"/>
          <w:vertAlign w:val="superscript"/>
        </w:rPr>
        <w:footnoteReference w:id="26"/>
      </w:r>
      <w:r w:rsidRPr="00E617E2">
        <w:rPr>
          <w:rFonts w:ascii="Arial" w:eastAsia="Calibri" w:hAnsi="Arial" w:cs="Arial"/>
          <w:color w:val="000000"/>
          <w:sz w:val="18"/>
          <w:szCs w:val="18"/>
        </w:rPr>
        <w:t xml:space="preserve"> The proposed Disclosure of Tax Havens and Offshoring Act will require public country-by-country reporting (</w:t>
      </w:r>
      <w:proofErr w:type="spellStart"/>
      <w:r w:rsidRPr="00E617E2">
        <w:rPr>
          <w:rFonts w:ascii="Arial" w:eastAsia="Calibri" w:hAnsi="Arial" w:cs="Arial"/>
          <w:color w:val="000000"/>
          <w:sz w:val="18"/>
          <w:szCs w:val="18"/>
        </w:rPr>
        <w:t>CbCR</w:t>
      </w:r>
      <w:proofErr w:type="spellEnd"/>
      <w:r w:rsidRPr="00E617E2">
        <w:rPr>
          <w:rFonts w:ascii="Arial" w:eastAsia="Calibri" w:hAnsi="Arial" w:cs="Arial"/>
          <w:color w:val="000000"/>
          <w:sz w:val="18"/>
          <w:szCs w:val="18"/>
        </w:rPr>
        <w:t xml:space="preserve">) of financial (including tax) data by SEC-registered companies. In November 2021, the European Union approved a directive to implement a form of public </w:t>
      </w:r>
      <w:proofErr w:type="spellStart"/>
      <w:r w:rsidRPr="00E617E2">
        <w:rPr>
          <w:rFonts w:ascii="Arial" w:eastAsia="Calibri" w:hAnsi="Arial" w:cs="Arial"/>
          <w:color w:val="000000"/>
          <w:sz w:val="18"/>
          <w:szCs w:val="18"/>
        </w:rPr>
        <w:t>CbCR</w:t>
      </w:r>
      <w:proofErr w:type="spellEnd"/>
      <w:r w:rsidRPr="00E617E2">
        <w:rPr>
          <w:rFonts w:ascii="Arial" w:eastAsia="Calibri" w:hAnsi="Arial" w:cs="Arial"/>
          <w:color w:val="000000"/>
          <w:sz w:val="18"/>
          <w:szCs w:val="18"/>
        </w:rPr>
        <w:t xml:space="preserve"> for multinationals operating in the European Union with group revenue of over $860 million.</w:t>
      </w:r>
      <w:r w:rsidRPr="00E617E2">
        <w:rPr>
          <w:rFonts w:ascii="Arial" w:eastAsia="Calibri" w:hAnsi="Arial" w:cs="Arial"/>
          <w:color w:val="000000"/>
          <w:sz w:val="18"/>
          <w:szCs w:val="18"/>
          <w:vertAlign w:val="superscript"/>
        </w:rPr>
        <w:footnoteReference w:id="27"/>
      </w:r>
      <w:r w:rsidRPr="00E617E2">
        <w:rPr>
          <w:rFonts w:ascii="Arial" w:eastAsia="Calibri" w:hAnsi="Arial" w:cs="Arial"/>
          <w:color w:val="000000"/>
          <w:sz w:val="18"/>
          <w:szCs w:val="18"/>
          <w:vertAlign w:val="superscript"/>
        </w:rPr>
        <w:t xml:space="preserve"> </w:t>
      </w:r>
    </w:p>
    <w:p w14:paraId="5280C276"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In April 2023, Australia introduced legislation which calls for multinational corporations of a certain size, operating in Australia to publicly disclose the information in their Country-by-Country reports (</w:t>
      </w:r>
      <w:proofErr w:type="spellStart"/>
      <w:r w:rsidRPr="00E617E2">
        <w:rPr>
          <w:rFonts w:ascii="Arial" w:eastAsia="Calibri" w:hAnsi="Arial" w:cs="Arial"/>
          <w:color w:val="000000"/>
          <w:sz w:val="18"/>
          <w:szCs w:val="18"/>
        </w:rPr>
        <w:t>CbCr</w:t>
      </w:r>
      <w:proofErr w:type="spellEnd"/>
      <w:r w:rsidRPr="00E617E2">
        <w:rPr>
          <w:rFonts w:ascii="Arial" w:eastAsia="Calibri" w:hAnsi="Arial" w:cs="Arial"/>
          <w:color w:val="000000"/>
          <w:sz w:val="18"/>
          <w:szCs w:val="18"/>
        </w:rPr>
        <w:t xml:space="preserve">) broken down by jurisdiction, as well as publicly disclosing other new tax and financial information - also by each jurisdiction - not currently disclosed in confidential </w:t>
      </w:r>
      <w:proofErr w:type="spellStart"/>
      <w:r w:rsidRPr="00E617E2">
        <w:rPr>
          <w:rFonts w:ascii="Arial" w:eastAsia="Calibri" w:hAnsi="Arial" w:cs="Arial"/>
          <w:color w:val="000000"/>
          <w:sz w:val="18"/>
          <w:szCs w:val="18"/>
        </w:rPr>
        <w:t>CbCr</w:t>
      </w:r>
      <w:proofErr w:type="spellEnd"/>
      <w:r w:rsidRPr="00E617E2">
        <w:rPr>
          <w:rFonts w:ascii="Arial" w:eastAsia="Calibri" w:hAnsi="Arial" w:cs="Arial"/>
          <w:color w:val="000000"/>
          <w:sz w:val="18"/>
          <w:szCs w:val="18"/>
        </w:rPr>
        <w:t>. The disclosures called for in the legislation are largely adopted from GRI Standard 207.</w:t>
      </w:r>
      <w:r w:rsidRPr="00E617E2">
        <w:rPr>
          <w:rFonts w:ascii="Arial" w:eastAsia="Calibri" w:hAnsi="Arial" w:cs="Arial"/>
          <w:color w:val="000000"/>
          <w:sz w:val="18"/>
          <w:szCs w:val="18"/>
          <w:vertAlign w:val="superscript"/>
        </w:rPr>
        <w:footnoteReference w:id="28"/>
      </w:r>
      <w:r w:rsidRPr="00E617E2">
        <w:rPr>
          <w:rFonts w:ascii="Arial" w:eastAsia="Arial" w:hAnsi="Arial" w:cs="Arial"/>
          <w:color w:val="000000"/>
          <w:sz w:val="18"/>
          <w:szCs w:val="18"/>
        </w:rPr>
        <w:t xml:space="preserve">  </w:t>
      </w:r>
    </w:p>
    <w:p w14:paraId="30B10691"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Currently, Microsoft does not disclose revenues or profits in non-US markets, and foreign tax payments are not disaggregated, challenging investors’ ability to evaluate the risks to our company of taxation reforms, or whether Microsoft is engaged in responsible tax practices that ensure long term value creation for the company and the communities in which it operates. Microsoft’s approach to taxation has been repeatedly challenged by tax authorities globally.</w:t>
      </w:r>
      <w:r w:rsidRPr="00E617E2">
        <w:rPr>
          <w:rFonts w:ascii="Arial" w:eastAsia="Calibri" w:hAnsi="Arial" w:cs="Arial"/>
          <w:color w:val="000000"/>
          <w:sz w:val="18"/>
          <w:szCs w:val="18"/>
          <w:vertAlign w:val="superscript"/>
        </w:rPr>
        <w:footnoteReference w:id="29"/>
      </w:r>
      <w:r w:rsidRPr="00E617E2">
        <w:rPr>
          <w:rFonts w:ascii="Arial" w:eastAsia="Calibri" w:hAnsi="Arial" w:cs="Arial"/>
          <w:color w:val="000000"/>
          <w:sz w:val="18"/>
          <w:szCs w:val="18"/>
        </w:rPr>
        <w:t xml:space="preserve"> In 2020, an Irish subsidiary recorded profits of $315 billion, despite having no employees.</w:t>
      </w:r>
      <w:r w:rsidRPr="00E617E2">
        <w:rPr>
          <w:rFonts w:ascii="Arial" w:eastAsia="Calibri" w:hAnsi="Arial" w:cs="Arial"/>
          <w:color w:val="000000"/>
          <w:sz w:val="18"/>
          <w:szCs w:val="18"/>
          <w:vertAlign w:val="superscript"/>
        </w:rPr>
        <w:footnoteReference w:id="30"/>
      </w:r>
      <w:r w:rsidRPr="00E617E2">
        <w:rPr>
          <w:rFonts w:ascii="Arial" w:eastAsia="Calibri" w:hAnsi="Arial" w:cs="Arial"/>
          <w:color w:val="000000"/>
          <w:sz w:val="18"/>
          <w:szCs w:val="18"/>
          <w:vertAlign w:val="superscript"/>
        </w:rPr>
        <w:t xml:space="preserve"> </w:t>
      </w:r>
    </w:p>
    <w:p w14:paraId="1255B4CE" w14:textId="77777777" w:rsidR="00E617E2" w:rsidRPr="00E617E2" w:rsidRDefault="00E617E2" w:rsidP="00E617E2">
      <w:pPr>
        <w:spacing w:after="80"/>
        <w:ind w:left="-5"/>
        <w:rPr>
          <w:rFonts w:ascii="Arial" w:eastAsia="Calibri" w:hAnsi="Arial" w:cs="Arial"/>
          <w:color w:val="000000"/>
          <w:sz w:val="18"/>
          <w:szCs w:val="18"/>
          <w:vertAlign w:val="superscript"/>
        </w:rPr>
      </w:pPr>
      <w:r w:rsidRPr="00E617E2">
        <w:rPr>
          <w:rFonts w:ascii="Arial" w:eastAsia="Calibri" w:hAnsi="Arial" w:cs="Arial"/>
          <w:color w:val="000000"/>
          <w:sz w:val="18"/>
          <w:szCs w:val="18"/>
        </w:rPr>
        <w:t>The GRI Standards are the world’s most utilized reporting standard.</w:t>
      </w:r>
      <w:r w:rsidRPr="00E617E2">
        <w:rPr>
          <w:rFonts w:ascii="Arial" w:eastAsia="Calibri" w:hAnsi="Arial" w:cs="Arial"/>
          <w:color w:val="000000"/>
          <w:sz w:val="18"/>
          <w:szCs w:val="18"/>
          <w:vertAlign w:val="superscript"/>
        </w:rPr>
        <w:footnoteReference w:id="31"/>
      </w:r>
      <w:r w:rsidRPr="00E617E2">
        <w:rPr>
          <w:rFonts w:ascii="Arial" w:eastAsia="Calibri" w:hAnsi="Arial" w:cs="Arial"/>
          <w:color w:val="000000"/>
          <w:sz w:val="18"/>
          <w:szCs w:val="18"/>
        </w:rPr>
        <w:t xml:space="preserve"> The GRI Tax Standard was developed in response to investor concerns regarding the lack of corporate tax transparency and the impact of tax avoidance on governments’ ability to fund services and support sustainable development.</w:t>
      </w:r>
      <w:r w:rsidRPr="00E617E2">
        <w:rPr>
          <w:rFonts w:ascii="Arial" w:eastAsia="Calibri" w:hAnsi="Arial" w:cs="Arial"/>
          <w:color w:val="000000"/>
          <w:sz w:val="18"/>
          <w:szCs w:val="18"/>
          <w:vertAlign w:val="superscript"/>
        </w:rPr>
        <w:footnoteReference w:id="32"/>
      </w:r>
      <w:r w:rsidRPr="00E617E2">
        <w:rPr>
          <w:rFonts w:ascii="Arial" w:eastAsia="Calibri" w:hAnsi="Arial" w:cs="Arial"/>
          <w:color w:val="000000"/>
          <w:sz w:val="18"/>
          <w:szCs w:val="18"/>
        </w:rPr>
        <w:t xml:space="preserve"> It is the first comprehensive, global standard for public tax disclosure and requires public reporting of a company’s business activities, including revenues, profits and losses, and tax payments within each jurisdiction.</w:t>
      </w:r>
      <w:r w:rsidRPr="00E617E2">
        <w:rPr>
          <w:rFonts w:ascii="Arial" w:eastAsia="Calibri" w:hAnsi="Arial" w:cs="Arial"/>
          <w:color w:val="000000"/>
          <w:sz w:val="18"/>
          <w:szCs w:val="18"/>
          <w:vertAlign w:val="superscript"/>
        </w:rPr>
        <w:footnoteReference w:id="33"/>
      </w:r>
      <w:r w:rsidRPr="00E617E2">
        <w:rPr>
          <w:rFonts w:ascii="Arial" w:eastAsia="Calibri" w:hAnsi="Arial" w:cs="Arial"/>
          <w:color w:val="000000"/>
          <w:sz w:val="18"/>
          <w:szCs w:val="18"/>
          <w:vertAlign w:val="superscript"/>
        </w:rPr>
        <w:t xml:space="preserve"> </w:t>
      </w:r>
    </w:p>
    <w:p w14:paraId="7D060B4A"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Oxfam America reports that investors with more than $10 trillion in assets under management have expressed public support for CbCR.</w:t>
      </w:r>
      <w:r w:rsidRPr="00E617E2">
        <w:rPr>
          <w:rFonts w:ascii="Arial" w:eastAsia="Calibri" w:hAnsi="Arial" w:cs="Arial"/>
          <w:color w:val="000000"/>
          <w:sz w:val="18"/>
          <w:szCs w:val="18"/>
          <w:vertAlign w:val="superscript"/>
        </w:rPr>
        <w:t>12</w:t>
      </w:r>
    </w:p>
    <w:p w14:paraId="6BEC0885" w14:textId="77777777" w:rsidR="00E617E2" w:rsidRPr="00E617E2" w:rsidRDefault="00E617E2" w:rsidP="00E617E2">
      <w:pPr>
        <w:spacing w:after="80"/>
        <w:ind w:left="-5"/>
        <w:rPr>
          <w:rFonts w:ascii="Arial" w:eastAsia="Calibri" w:hAnsi="Arial" w:cs="Arial"/>
          <w:color w:val="000000"/>
          <w:sz w:val="20"/>
        </w:rPr>
      </w:pPr>
      <w:r w:rsidRPr="00E617E2">
        <w:rPr>
          <w:rFonts w:ascii="Arial" w:eastAsia="Calibri" w:hAnsi="Arial" w:cs="Arial"/>
          <w:color w:val="000000"/>
          <w:sz w:val="18"/>
          <w:szCs w:val="18"/>
        </w:rPr>
        <w:t>This proposal would bring our company’s disclosures in line with leading companies who already report using the Tax Standard.</w:t>
      </w:r>
      <w:r w:rsidRPr="00E617E2">
        <w:rPr>
          <w:rFonts w:ascii="Arial" w:eastAsia="Calibri" w:hAnsi="Arial" w:cs="Arial"/>
          <w:color w:val="000000"/>
          <w:sz w:val="18"/>
          <w:szCs w:val="18"/>
          <w:vertAlign w:val="superscript"/>
        </w:rPr>
        <w:t>13</w:t>
      </w:r>
      <w:r w:rsidRPr="00E617E2">
        <w:rPr>
          <w:rFonts w:ascii="Arial" w:eastAsia="Calibri" w:hAnsi="Arial" w:cs="Arial"/>
          <w:color w:val="000000"/>
          <w:sz w:val="18"/>
          <w:szCs w:val="18"/>
        </w:rPr>
        <w:t xml:space="preserve"> Our company already reports </w:t>
      </w:r>
      <w:proofErr w:type="spellStart"/>
      <w:r w:rsidRPr="00E617E2">
        <w:rPr>
          <w:rFonts w:ascii="Arial" w:eastAsia="Calibri" w:hAnsi="Arial" w:cs="Arial"/>
          <w:color w:val="000000"/>
          <w:sz w:val="18"/>
          <w:szCs w:val="18"/>
        </w:rPr>
        <w:t>CbCR</w:t>
      </w:r>
      <w:proofErr w:type="spellEnd"/>
      <w:r w:rsidRPr="00E617E2">
        <w:rPr>
          <w:rFonts w:ascii="Arial" w:eastAsia="Calibri" w:hAnsi="Arial" w:cs="Arial"/>
          <w:color w:val="000000"/>
          <w:sz w:val="18"/>
          <w:szCs w:val="18"/>
        </w:rPr>
        <w:t xml:space="preserve"> information to OECD tax authorities privately, so any increased reporting burden is negligible. </w:t>
      </w:r>
    </w:p>
    <w:p w14:paraId="590FD338" w14:textId="77777777" w:rsidR="00E617E2" w:rsidRPr="00E617E2" w:rsidRDefault="00E617E2" w:rsidP="00E617E2">
      <w:pPr>
        <w:rPr>
          <w:rFonts w:ascii="Arial" w:eastAsia="Calibri" w:hAnsi="Arial" w:cs="Arial"/>
          <w:color w:val="000000"/>
          <w:sz w:val="20"/>
        </w:rPr>
      </w:pPr>
      <w:r w:rsidRPr="00E617E2">
        <w:rPr>
          <w:rFonts w:ascii="Arial" w:eastAsia="Calibri" w:hAnsi="Arial" w:cs="Arial"/>
          <w:color w:val="000000"/>
          <w:sz w:val="20"/>
        </w:rPr>
        <w:br w:type="page"/>
      </w:r>
    </w:p>
    <w:p w14:paraId="4F2703C1" w14:textId="77777777" w:rsidR="00E617E2" w:rsidRPr="00E617E2" w:rsidRDefault="00E617E2" w:rsidP="00E617E2">
      <w:pPr>
        <w:keepNext/>
        <w:spacing w:before="120" w:after="120"/>
        <w:rPr>
          <w:rFonts w:ascii="Arial" w:hAnsi="Arial" w:cs="Arial"/>
          <w:sz w:val="18"/>
          <w:szCs w:val="18"/>
        </w:rPr>
      </w:pPr>
      <w:r w:rsidRPr="00E617E2">
        <w:rPr>
          <w:rFonts w:ascii="Arial" w:hAnsi="Arial" w:cs="Arial"/>
          <w:b/>
          <w:bCs/>
          <w:color w:val="0075C9"/>
          <w:sz w:val="18"/>
          <w:szCs w:val="18"/>
        </w:rPr>
        <w:lastRenderedPageBreak/>
        <w:t xml:space="preserve">Board Recommendation </w:t>
      </w:r>
    </w:p>
    <w:p w14:paraId="26C7D8FC" w14:textId="77777777" w:rsidR="00E617E2" w:rsidRPr="00E617E2" w:rsidRDefault="00E617E2" w:rsidP="00E617E2">
      <w:pPr>
        <w:keepNext/>
        <w:spacing w:before="120" w:after="120"/>
        <w:rPr>
          <w:rFonts w:ascii="Arial" w:hAnsi="Arial" w:cs="Arial"/>
          <w:sz w:val="18"/>
          <w:szCs w:val="18"/>
        </w:rPr>
      </w:pPr>
      <w:r w:rsidRPr="00E617E2">
        <w:rPr>
          <w:rFonts w:ascii="Arial" w:hAnsi="Arial" w:cs="Arial"/>
          <w:b/>
          <w:bCs/>
          <w:i/>
          <w:iCs/>
          <w:color w:val="0075C9"/>
          <w:sz w:val="18"/>
          <w:szCs w:val="18"/>
        </w:rPr>
        <w:t xml:space="preserve">The Board of Directors recommends a vote AGAINST the proposal for the following reasons: </w:t>
      </w:r>
    </w:p>
    <w:p w14:paraId="5BDBF52A" w14:textId="77777777" w:rsidR="00E617E2" w:rsidRPr="00E617E2" w:rsidRDefault="00E617E2" w:rsidP="00E617E2">
      <w:pPr>
        <w:keepNext/>
        <w:spacing w:before="120" w:after="120"/>
        <w:rPr>
          <w:rFonts w:ascii="Arial" w:hAnsi="Arial" w:cs="Arial"/>
          <w:sz w:val="20"/>
        </w:rPr>
      </w:pPr>
      <w:r w:rsidRPr="00E617E2">
        <w:rPr>
          <w:rFonts w:ascii="Arial" w:hAnsi="Arial" w:cs="Arial"/>
          <w:b/>
          <w:bCs/>
          <w:sz w:val="18"/>
          <w:szCs w:val="18"/>
        </w:rPr>
        <w:t xml:space="preserve">COMPANY STATEMENT IN OPPOSITION </w:t>
      </w:r>
    </w:p>
    <w:p w14:paraId="20594040" w14:textId="77777777" w:rsidR="00E617E2" w:rsidRPr="00E617E2" w:rsidRDefault="00E617E2" w:rsidP="00E617E2">
      <w:pPr>
        <w:spacing w:before="120"/>
        <w:rPr>
          <w:rFonts w:ascii="Arial" w:hAnsi="Arial" w:cs="Arial"/>
          <w:sz w:val="18"/>
          <w:szCs w:val="18"/>
        </w:rPr>
      </w:pPr>
      <w:r w:rsidRPr="00E617E2">
        <w:rPr>
          <w:rFonts w:ascii="Arial" w:hAnsi="Arial" w:cs="Arial"/>
          <w:sz w:val="18"/>
          <w:szCs w:val="18"/>
        </w:rPr>
        <w:t xml:space="preserve">The tax transparency report the proposal requests is unnecessary because we provide abundant disclosure about our tax situation in multiple jurisdictions through existing frameworks. In addition, we support broad-based international tax reform and policies that foster economic growth, investment, and job creation. We comply with the tax laws in every jurisdiction in which we operate. As provided in its charter, the Audit Committee of the Microsoft Board of Directors oversees our tax strategy and compliance, reviewing with management the Company’s tax-related policies and processes. This includes regular reports on tax compliance, tax reform initiatives, and other developments in the U.S. and worldwide. </w:t>
      </w:r>
    </w:p>
    <w:p w14:paraId="1B02919F" w14:textId="77777777" w:rsidR="00E617E2" w:rsidRPr="00E617E2" w:rsidRDefault="00E617E2" w:rsidP="00E617E2">
      <w:pPr>
        <w:spacing w:before="120"/>
        <w:rPr>
          <w:rFonts w:ascii="Arial" w:hAnsi="Arial" w:cs="Arial"/>
          <w:sz w:val="18"/>
          <w:szCs w:val="18"/>
        </w:rPr>
      </w:pPr>
      <w:r w:rsidRPr="00E617E2">
        <w:rPr>
          <w:rFonts w:ascii="Arial" w:hAnsi="Arial" w:cs="Arial"/>
          <w:sz w:val="18"/>
          <w:szCs w:val="18"/>
        </w:rPr>
        <w:t xml:space="preserve">First, as noted, we already provide extensive tax information in a variety of forums. Our Annual Report on Form 10-K filed with the Securities and Exchange Commission provides detailed information regarding our U.S. federal, state, and international income taxes and other tax related information for the years covered by the report. Fifty-One Microsoft subsidiaries currently file statutory reports which are publicly available. Microsoft also publishes tax strategy statements as required in the United Kingdom, Poland, and Singapore which set out our approach to managing the Company’s tax affairs. </w:t>
      </w:r>
    </w:p>
    <w:p w14:paraId="4C994758" w14:textId="77777777" w:rsidR="00E617E2" w:rsidRPr="00E617E2" w:rsidRDefault="00E617E2" w:rsidP="00E617E2">
      <w:pPr>
        <w:spacing w:before="120"/>
        <w:rPr>
          <w:rFonts w:ascii="Arial" w:hAnsi="Arial" w:cs="Arial"/>
          <w:sz w:val="18"/>
          <w:szCs w:val="18"/>
        </w:rPr>
      </w:pPr>
      <w:r w:rsidRPr="00E617E2">
        <w:rPr>
          <w:rFonts w:ascii="Arial" w:hAnsi="Arial" w:cs="Arial"/>
          <w:sz w:val="18"/>
          <w:szCs w:val="18"/>
        </w:rPr>
        <w:t xml:space="preserve">In addition, Microsoft currently provides annual country-by-country reports on a confidential basis to tax authorities as agreed by countries participating in the Organization for Economic Cooperation &amp; Development (“OECD”). These reports include specific tax information by country and are shared among tax authorities providing them with information to undertake a high-level risk assessment of our tax affairs. Confidentiality of this information and sharing only through information exchange networks established by treaty was key to the multinational OECD agreement, due to its competitively sensitive nature and the need to ensure appropriate use by treaty and information exchange partners. </w:t>
      </w:r>
    </w:p>
    <w:p w14:paraId="2F52D8DB" w14:textId="77777777" w:rsidR="00E617E2" w:rsidRPr="00E617E2" w:rsidRDefault="00E617E2" w:rsidP="00E617E2">
      <w:pPr>
        <w:spacing w:before="120"/>
        <w:rPr>
          <w:rFonts w:ascii="Arial" w:hAnsi="Arial" w:cs="Arial"/>
          <w:sz w:val="18"/>
          <w:szCs w:val="18"/>
        </w:rPr>
      </w:pPr>
      <w:r w:rsidRPr="00E617E2">
        <w:rPr>
          <w:rFonts w:ascii="Arial" w:hAnsi="Arial" w:cs="Arial"/>
          <w:sz w:val="18"/>
          <w:szCs w:val="18"/>
        </w:rPr>
        <w:t xml:space="preserve">Although public country-by-country reporting is not currently required, Microsoft expects to comply with European Union public country-by-country reporting requirements as required effective for our fiscal year 2025. </w:t>
      </w:r>
    </w:p>
    <w:p w14:paraId="185613E4" w14:textId="77777777" w:rsidR="00E617E2" w:rsidRPr="00E617E2" w:rsidRDefault="00E617E2" w:rsidP="00E617E2">
      <w:pPr>
        <w:spacing w:before="120"/>
        <w:rPr>
          <w:rFonts w:ascii="Arial" w:hAnsi="Arial" w:cs="Arial"/>
          <w:sz w:val="18"/>
          <w:szCs w:val="18"/>
        </w:rPr>
      </w:pPr>
      <w:r w:rsidRPr="00E617E2">
        <w:rPr>
          <w:rFonts w:ascii="Arial" w:hAnsi="Arial" w:cs="Arial"/>
          <w:sz w:val="18"/>
          <w:szCs w:val="18"/>
        </w:rPr>
        <w:t>Second, we support tax reform and transparency through ongoing, orderly, multilateral processes. Microsoft has expressed support for the OECD’s multilateral international tax reform efforts, with a signed agreement expected in 2023. On July 11, 2023, 138 members of the OECD/G20 Inclusive Framework on Base Erosion and Profit Shifting (“BEPS”) - representing over 90% of global GDP - agreed an Outcome Statement recognizing the significant progress made and allowing countries and jurisdictions to move forward with historic, major reform of the international tax system. These multilateral efforts should be allowed to progress through the negotiation and cooperation of governments, businesses, and other interested stakeholders.</w:t>
      </w:r>
    </w:p>
    <w:p w14:paraId="3945CC7F" w14:textId="77777777" w:rsidR="00E617E2" w:rsidRPr="00E617E2" w:rsidRDefault="00E617E2" w:rsidP="00E617E2">
      <w:pPr>
        <w:spacing w:before="120"/>
        <w:rPr>
          <w:rFonts w:ascii="Arial" w:hAnsi="Arial" w:cs="Arial"/>
          <w:sz w:val="18"/>
          <w:szCs w:val="18"/>
        </w:rPr>
      </w:pPr>
      <w:r w:rsidRPr="00E617E2">
        <w:rPr>
          <w:rFonts w:ascii="Arial" w:hAnsi="Arial" w:cs="Arial"/>
          <w:sz w:val="18"/>
          <w:szCs w:val="18"/>
        </w:rPr>
        <w:t>Detailed disclosures required by the Global Reporting Initiative Tax Standard (“GRI Tax Standard”) could result in unintended negative impacts, including the release of proprietary competitive information regarding our operations and cost structures. We believe the GRI Tax Standard’s narrow focus on corporate income taxation also oversimplifies a complex system of fiscal and public policy determinations each country makes on revenue sources, including consumption taxes, individual taxes, business taxes, etc.</w:t>
      </w:r>
    </w:p>
    <w:p w14:paraId="45C30698" w14:textId="77777777" w:rsidR="00E617E2" w:rsidRPr="00E617E2" w:rsidRDefault="00E617E2" w:rsidP="00E617E2">
      <w:pPr>
        <w:spacing w:before="120"/>
        <w:rPr>
          <w:rFonts w:ascii="Arial" w:hAnsi="Arial" w:cs="Arial"/>
          <w:sz w:val="18"/>
          <w:szCs w:val="18"/>
        </w:rPr>
      </w:pPr>
      <w:r w:rsidRPr="00E617E2">
        <w:rPr>
          <w:rFonts w:ascii="Arial" w:hAnsi="Arial" w:cs="Arial"/>
          <w:sz w:val="18"/>
          <w:szCs w:val="18"/>
        </w:rPr>
        <w:t xml:space="preserve">Contrary to the proponent’s assertion that its proposal would bring our Company’s disclosures in line with leading companies who already report using the GRI Tax Standard, we are not aware of any widespread adoption of the GRI Tax Standard by U.S. businesses, including by any large U.S. technology companies. We believe it would be premature to adopt this voluntary standard in advance of the forthcoming public country-by-country reporting in the European Union and emerging decisions from the OECD noted above. </w:t>
      </w:r>
    </w:p>
    <w:p w14:paraId="65E0C29E" w14:textId="77777777" w:rsidR="00E617E2" w:rsidRPr="00E617E2" w:rsidRDefault="00E617E2" w:rsidP="00E617E2">
      <w:pPr>
        <w:spacing w:after="198" w:line="277" w:lineRule="auto"/>
        <w:ind w:left="-5" w:hanging="10"/>
        <w:rPr>
          <w:rFonts w:ascii="Arial" w:eastAsia="Calibri" w:hAnsi="Arial" w:cs="Arial"/>
          <w:color w:val="000000"/>
          <w:sz w:val="20"/>
        </w:rPr>
        <w:sectPr w:rsidR="00E617E2" w:rsidRPr="00E617E2" w:rsidSect="004929E2">
          <w:footnotePr>
            <w:numRestart w:val="eachSect"/>
          </w:footnotePr>
          <w:pgSz w:w="12240" w:h="15840"/>
          <w:pgMar w:top="720" w:right="720" w:bottom="720" w:left="720" w:header="720" w:footer="720" w:gutter="0"/>
          <w:cols w:space="720"/>
          <w:docGrid w:linePitch="360"/>
        </w:sectPr>
      </w:pPr>
    </w:p>
    <w:p w14:paraId="7A971996" w14:textId="77777777" w:rsidR="00E617E2" w:rsidRPr="00E617E2" w:rsidRDefault="00E617E2" w:rsidP="00E617E2">
      <w:pPr>
        <w:spacing w:after="80"/>
        <w:rPr>
          <w:rFonts w:ascii="Arial" w:hAnsi="Arial" w:cs="Arial"/>
          <w:b/>
          <w:bCs/>
          <w:szCs w:val="24"/>
        </w:rPr>
      </w:pPr>
      <w:r w:rsidRPr="00E617E2">
        <w:rPr>
          <w:rFonts w:ascii="Arial" w:eastAsiaTheme="minorHAnsi" w:hAnsi="Arial" w:cs="Arial"/>
          <w:b/>
          <w:bCs/>
          <w:kern w:val="2"/>
          <w:szCs w:val="24"/>
          <w14:ligatures w14:val="standardContextual"/>
        </w:rPr>
        <w:lastRenderedPageBreak/>
        <w:t xml:space="preserve">Proposal 11: </w:t>
      </w:r>
      <w:r w:rsidRPr="00E617E2">
        <w:rPr>
          <w:rFonts w:ascii="Arial" w:hAnsi="Arial" w:cs="Arial"/>
          <w:b/>
          <w:bCs/>
          <w:szCs w:val="24"/>
        </w:rPr>
        <w:t>Report on Data Operations in Human Rights Hotspots</w:t>
      </w:r>
      <w:r w:rsidRPr="00E617E2">
        <w:rPr>
          <w:rFonts w:ascii="Arial" w:eastAsiaTheme="minorHAnsi" w:hAnsi="Arial" w:cs="Arial"/>
          <w:b/>
          <w:bCs/>
          <w:kern w:val="2"/>
          <w:szCs w:val="24"/>
          <w14:ligatures w14:val="standardContextual"/>
        </w:rPr>
        <w:t xml:space="preserve"> </w:t>
      </w:r>
      <w:r w:rsidRPr="00E617E2">
        <w:rPr>
          <w:rFonts w:ascii="Arial" w:hAnsi="Arial" w:cs="Arial"/>
          <w:b/>
          <w:bCs/>
          <w:szCs w:val="24"/>
        </w:rPr>
        <w:t>(Shareholder Proposal)</w:t>
      </w:r>
    </w:p>
    <w:p w14:paraId="11BD88CE" w14:textId="77777777" w:rsidR="00E617E2" w:rsidRPr="00E617E2" w:rsidRDefault="00E617E2" w:rsidP="00E617E2">
      <w:pPr>
        <w:spacing w:after="240"/>
        <w:rPr>
          <w:rFonts w:ascii="Arial" w:eastAsia="Arial" w:hAnsi="Arial" w:cs="Arial"/>
          <w:b/>
          <w:color w:val="000000" w:themeColor="text1"/>
          <w:sz w:val="18"/>
          <w:szCs w:val="18"/>
        </w:rPr>
      </w:pPr>
      <w:r w:rsidRPr="00E617E2">
        <w:rPr>
          <w:rFonts w:ascii="Arial" w:hAnsi="Arial" w:cs="Arial"/>
          <w:sz w:val="18"/>
          <w:szCs w:val="18"/>
        </w:rPr>
        <w:t>Eko and a co-filer have advised us that they intend to submit the following proposal for consideration at the Annual Meeting.</w:t>
      </w:r>
    </w:p>
    <w:p w14:paraId="2F35FD4F" w14:textId="77777777" w:rsidR="00E617E2" w:rsidRPr="00E617E2" w:rsidRDefault="00E617E2" w:rsidP="00E617E2">
      <w:pPr>
        <w:spacing w:after="120"/>
        <w:rPr>
          <w:rFonts w:ascii="Arial" w:hAnsi="Arial" w:cs="Arial"/>
          <w:color w:val="000000" w:themeColor="text1"/>
          <w:sz w:val="20"/>
        </w:rPr>
      </w:pPr>
      <w:r w:rsidRPr="00E617E2">
        <w:rPr>
          <w:rFonts w:ascii="Arial" w:eastAsia="Arial" w:hAnsi="Arial" w:cs="Arial"/>
          <w:b/>
          <w:color w:val="000000" w:themeColor="text1"/>
          <w:sz w:val="20"/>
        </w:rPr>
        <w:t xml:space="preserve">Data Operations in Human Rights Hotspots </w:t>
      </w:r>
    </w:p>
    <w:p w14:paraId="45439B90" w14:textId="77777777" w:rsidR="00E617E2" w:rsidRPr="00E617E2" w:rsidRDefault="00E617E2" w:rsidP="00E617E2">
      <w:pPr>
        <w:spacing w:after="29"/>
        <w:rPr>
          <w:rFonts w:ascii="Arial" w:hAnsi="Arial" w:cs="Arial"/>
          <w:color w:val="000000" w:themeColor="text1"/>
          <w:sz w:val="18"/>
          <w:szCs w:val="18"/>
        </w:rPr>
      </w:pPr>
      <w:r w:rsidRPr="00E617E2">
        <w:rPr>
          <w:rFonts w:ascii="Arial" w:eastAsia="Arial" w:hAnsi="Arial" w:cs="Arial"/>
          <w:b/>
          <w:color w:val="000000" w:themeColor="text1"/>
          <w:sz w:val="18"/>
          <w:szCs w:val="18"/>
        </w:rPr>
        <w:t>Resolved</w:t>
      </w:r>
      <w:r w:rsidRPr="00E617E2">
        <w:rPr>
          <w:rFonts w:ascii="Arial" w:eastAsia="Arial" w:hAnsi="Arial" w:cs="Arial"/>
          <w:color w:val="000000" w:themeColor="text1"/>
          <w:sz w:val="18"/>
          <w:szCs w:val="18"/>
        </w:rPr>
        <w:t xml:space="preserve">: Shareholders request the Board of Directors commission a report assessing the implications of </w:t>
      </w:r>
      <w:proofErr w:type="gramStart"/>
      <w:r w:rsidRPr="00E617E2">
        <w:rPr>
          <w:rFonts w:ascii="Arial" w:eastAsia="Arial" w:hAnsi="Arial" w:cs="Arial"/>
          <w:color w:val="000000" w:themeColor="text1"/>
          <w:sz w:val="18"/>
          <w:szCs w:val="18"/>
        </w:rPr>
        <w:t>siting</w:t>
      </w:r>
      <w:proofErr w:type="gramEnd"/>
      <w:r w:rsidRPr="00E617E2">
        <w:rPr>
          <w:rFonts w:ascii="Arial" w:eastAsia="Arial" w:hAnsi="Arial" w:cs="Arial"/>
          <w:color w:val="000000" w:themeColor="text1"/>
          <w:sz w:val="18"/>
          <w:szCs w:val="18"/>
        </w:rPr>
        <w:t xml:space="preserve"> Microsoft cloud datacenters in countries of significant human rights concern, and the Company’s strategies for mitigating these impacts. </w:t>
      </w:r>
    </w:p>
    <w:p w14:paraId="4DB3B150" w14:textId="77777777" w:rsidR="00E617E2" w:rsidRPr="00E617E2" w:rsidRDefault="00E617E2" w:rsidP="00E617E2">
      <w:pPr>
        <w:spacing w:after="120"/>
        <w:rPr>
          <w:rFonts w:ascii="Arial" w:hAnsi="Arial" w:cs="Arial"/>
          <w:color w:val="000000" w:themeColor="text1"/>
          <w:sz w:val="18"/>
          <w:szCs w:val="18"/>
        </w:rPr>
      </w:pPr>
      <w:r w:rsidRPr="00E617E2">
        <w:rPr>
          <w:rFonts w:ascii="Arial" w:eastAsia="Arial" w:hAnsi="Arial" w:cs="Arial"/>
          <w:color w:val="000000" w:themeColor="text1"/>
          <w:sz w:val="18"/>
          <w:szCs w:val="18"/>
        </w:rPr>
        <w:t xml:space="preserve">The report, prepared at reasonable cost and omitting confidential and proprietary information, should be published on the Company’s website within a year of the 2023 shareholders meeting. </w:t>
      </w:r>
    </w:p>
    <w:p w14:paraId="01A62747" w14:textId="77777777" w:rsidR="00E617E2" w:rsidRPr="00E617E2" w:rsidRDefault="00E617E2" w:rsidP="00E617E2">
      <w:pPr>
        <w:spacing w:after="80"/>
        <w:rPr>
          <w:rFonts w:ascii="Arial" w:hAnsi="Arial" w:cs="Arial"/>
          <w:color w:val="000000" w:themeColor="text1"/>
          <w:sz w:val="18"/>
          <w:szCs w:val="18"/>
        </w:rPr>
      </w:pPr>
      <w:r w:rsidRPr="00E617E2">
        <w:rPr>
          <w:rFonts w:ascii="Arial" w:eastAsia="Arial" w:hAnsi="Arial" w:cs="Arial"/>
          <w:b/>
          <w:color w:val="000000" w:themeColor="text1"/>
          <w:sz w:val="18"/>
          <w:szCs w:val="18"/>
        </w:rPr>
        <w:t xml:space="preserve">Supporting Statement: </w:t>
      </w:r>
    </w:p>
    <w:p w14:paraId="5E3D80C5" w14:textId="77777777" w:rsidR="00E617E2" w:rsidRPr="00E617E2" w:rsidRDefault="00E617E2" w:rsidP="00E617E2">
      <w:pPr>
        <w:spacing w:after="80"/>
        <w:rPr>
          <w:rFonts w:ascii="Arial" w:hAnsi="Arial" w:cs="Arial"/>
          <w:color w:val="000000" w:themeColor="text1"/>
          <w:sz w:val="18"/>
          <w:szCs w:val="18"/>
        </w:rPr>
      </w:pPr>
      <w:r w:rsidRPr="00E617E2">
        <w:rPr>
          <w:rFonts w:ascii="Arial" w:eastAsia="Arial" w:hAnsi="Arial" w:cs="Arial"/>
          <w:color w:val="000000" w:themeColor="text1"/>
          <w:sz w:val="18"/>
          <w:szCs w:val="18"/>
        </w:rPr>
        <w:t>Shareholders are concerned by Microsoft’s announced plans</w:t>
      </w:r>
      <w:r w:rsidRPr="00E617E2">
        <w:rPr>
          <w:rFonts w:ascii="Arial" w:eastAsia="Arial" w:hAnsi="Arial" w:cs="Arial"/>
          <w:color w:val="000000" w:themeColor="text1"/>
          <w:sz w:val="18"/>
          <w:szCs w:val="18"/>
          <w:vertAlign w:val="superscript"/>
        </w:rPr>
        <w:footnoteReference w:id="34"/>
      </w:r>
      <w:r w:rsidRPr="00E617E2">
        <w:rPr>
          <w:rFonts w:ascii="Arial" w:eastAsia="Arial" w:hAnsi="Arial" w:cs="Arial"/>
          <w:color w:val="000000" w:themeColor="text1"/>
          <w:sz w:val="18"/>
          <w:szCs w:val="18"/>
        </w:rPr>
        <w:t xml:space="preserve"> to expand datacenter operations to locations identified by the US State Department’s Country Reports on Human Rights Practices as presenting significant human rights challenges, in particular the plan</w:t>
      </w:r>
      <w:r w:rsidRPr="00E617E2">
        <w:rPr>
          <w:rFonts w:ascii="Arial" w:eastAsia="Arial" w:hAnsi="Arial" w:cs="Arial"/>
          <w:color w:val="000000" w:themeColor="text1"/>
          <w:sz w:val="18"/>
          <w:szCs w:val="18"/>
          <w:vertAlign w:val="superscript"/>
        </w:rPr>
        <w:t>1</w:t>
      </w:r>
      <w:r w:rsidRPr="00E617E2">
        <w:rPr>
          <w:rFonts w:ascii="Arial" w:eastAsia="Arial" w:hAnsi="Arial" w:cs="Arial"/>
          <w:color w:val="000000" w:themeColor="text1"/>
          <w:sz w:val="18"/>
          <w:szCs w:val="18"/>
        </w:rPr>
        <w:t xml:space="preserve"> to locate a Microsoft datacenter in Saudi Arabia. The State Department report</w:t>
      </w:r>
      <w:r w:rsidRPr="00E617E2">
        <w:rPr>
          <w:rFonts w:ascii="Arial" w:eastAsia="Arial" w:hAnsi="Arial" w:cs="Arial"/>
          <w:color w:val="000000" w:themeColor="text1"/>
          <w:sz w:val="18"/>
          <w:szCs w:val="18"/>
          <w:vertAlign w:val="superscript"/>
        </w:rPr>
        <w:footnoteReference w:id="35"/>
      </w:r>
      <w:r w:rsidRPr="00E617E2">
        <w:rPr>
          <w:rFonts w:ascii="Arial" w:eastAsia="Arial" w:hAnsi="Arial" w:cs="Arial"/>
          <w:color w:val="000000" w:themeColor="text1"/>
          <w:sz w:val="18"/>
          <w:szCs w:val="18"/>
        </w:rPr>
        <w:t xml:space="preserve"> details the highly restrictive Saudi control of all internet activities and pervasive government surveillance, arrest, and prosecution of online activity. Saudi authorities have even recruited spies inside US Twitter operations to extract personal information and spy on private communications of exiled Saudi activists “</w:t>
      </w:r>
      <w:r w:rsidRPr="00E617E2">
        <w:rPr>
          <w:rFonts w:ascii="Arial" w:eastAsia="Arial" w:hAnsi="Arial" w:cs="Arial"/>
          <w:i/>
          <w:color w:val="000000" w:themeColor="text1"/>
          <w:sz w:val="18"/>
          <w:szCs w:val="18"/>
        </w:rPr>
        <w:t>with one such operative recently convicted in federal court of spying for Saudi Arabia.”</w:t>
      </w:r>
      <w:r w:rsidRPr="00E617E2">
        <w:rPr>
          <w:rFonts w:ascii="Arial" w:eastAsia="Arial" w:hAnsi="Arial" w:cs="Arial"/>
          <w:i/>
          <w:color w:val="000000" w:themeColor="text1"/>
          <w:sz w:val="18"/>
          <w:szCs w:val="18"/>
          <w:vertAlign w:val="superscript"/>
        </w:rPr>
        <w:footnoteReference w:id="36"/>
      </w:r>
      <w:r w:rsidRPr="00E617E2">
        <w:rPr>
          <w:rFonts w:ascii="Arial" w:eastAsia="Arial" w:hAnsi="Arial" w:cs="Arial"/>
          <w:i/>
          <w:color w:val="000000" w:themeColor="text1"/>
          <w:sz w:val="18"/>
          <w:szCs w:val="18"/>
        </w:rPr>
        <w:t xml:space="preserve"> </w:t>
      </w:r>
      <w:r w:rsidRPr="00E617E2">
        <w:rPr>
          <w:rFonts w:ascii="Arial" w:eastAsia="Arial" w:hAnsi="Arial" w:cs="Arial"/>
          <w:color w:val="000000" w:themeColor="text1"/>
          <w:sz w:val="18"/>
          <w:szCs w:val="18"/>
        </w:rPr>
        <w:t xml:space="preserve"> </w:t>
      </w:r>
    </w:p>
    <w:p w14:paraId="7881E553" w14:textId="77777777" w:rsidR="00E617E2" w:rsidRPr="00E617E2" w:rsidRDefault="00E617E2" w:rsidP="00E617E2">
      <w:pPr>
        <w:spacing w:after="80"/>
        <w:rPr>
          <w:rFonts w:ascii="Arial" w:hAnsi="Arial" w:cs="Arial"/>
          <w:color w:val="000000" w:themeColor="text1"/>
          <w:sz w:val="18"/>
          <w:szCs w:val="18"/>
        </w:rPr>
      </w:pPr>
      <w:r w:rsidRPr="00E617E2">
        <w:rPr>
          <w:rFonts w:ascii="Arial" w:eastAsia="Arial" w:hAnsi="Arial" w:cs="Arial"/>
          <w:color w:val="000000" w:themeColor="text1"/>
          <w:sz w:val="18"/>
          <w:szCs w:val="18"/>
        </w:rPr>
        <w:t xml:space="preserve">Microsoft stated that this installation would #be consistent with Microsoft’s commitment to protecting fundamental rights” and claims that the company’s commitment to the Trusted Cloud Principles are an assurance of human rights protection yet has refused to disclose how these assurances will be enacted or enforced as there is no recognized oversight body for the Principles. The Principles require Microsoft to “Support laws that allow governments to request data through a transparent process that abides by internationally-recognized rule of law and human rights standards.” Yet the Saudi government’s laws and cloud computing regulations are in no way aligned with international human rights standards.  Anti-cybercrime and data protection laws severely undermine the right to privacy, enable unchecked state surveillance, and empower Saudi state agencies to access data allowing for a sweeping crackdown on online expression. </w:t>
      </w:r>
    </w:p>
    <w:p w14:paraId="2A478BB4" w14:textId="77777777" w:rsidR="00E617E2" w:rsidRPr="00E617E2" w:rsidRDefault="00E617E2" w:rsidP="00E617E2">
      <w:pPr>
        <w:spacing w:after="80"/>
        <w:rPr>
          <w:rFonts w:ascii="Arial" w:hAnsi="Arial" w:cs="Arial"/>
          <w:color w:val="000000" w:themeColor="text1"/>
          <w:sz w:val="18"/>
          <w:szCs w:val="18"/>
        </w:rPr>
      </w:pPr>
      <w:r w:rsidRPr="00E617E2">
        <w:rPr>
          <w:rFonts w:ascii="Arial" w:eastAsia="Arial" w:hAnsi="Arial" w:cs="Arial"/>
          <w:color w:val="000000" w:themeColor="text1"/>
          <w:sz w:val="18"/>
          <w:szCs w:val="18"/>
        </w:rPr>
        <w:t>The</w:t>
      </w:r>
      <w:r w:rsidRPr="00E617E2" w:rsidDel="004C32F4">
        <w:rPr>
          <w:rFonts w:ascii="Arial" w:eastAsia="Arial" w:hAnsi="Arial" w:cs="Arial"/>
          <w:color w:val="000000" w:themeColor="text1"/>
          <w:sz w:val="18"/>
          <w:szCs w:val="18"/>
        </w:rPr>
        <w:t xml:space="preserve"> </w:t>
      </w:r>
      <w:r w:rsidRPr="00E617E2">
        <w:rPr>
          <w:rFonts w:ascii="Arial" w:eastAsia="Arial" w:hAnsi="Arial" w:cs="Arial"/>
          <w:color w:val="000000" w:themeColor="text1"/>
          <w:sz w:val="18"/>
          <w:szCs w:val="18"/>
        </w:rPr>
        <w:t xml:space="preserve">company has provided no evidence that it has conducted a human rights impact assessment, or engaged impacted stakeholders as required under the </w:t>
      </w:r>
      <w:r w:rsidRPr="00E617E2">
        <w:rPr>
          <w:rFonts w:ascii="Arial" w:eastAsia="Arial" w:hAnsi="Arial" w:cs="Arial"/>
          <w:i/>
          <w:color w:val="000000" w:themeColor="text1"/>
          <w:sz w:val="18"/>
          <w:szCs w:val="18"/>
        </w:rPr>
        <w:t xml:space="preserve">United Nations Guiding Principles on Business and Human Rights (UNGPs). </w:t>
      </w:r>
      <w:r w:rsidRPr="00E617E2">
        <w:rPr>
          <w:rFonts w:ascii="Arial" w:eastAsia="Arial" w:hAnsi="Arial" w:cs="Arial"/>
          <w:color w:val="000000" w:themeColor="text1"/>
          <w:sz w:val="18"/>
          <w:szCs w:val="18"/>
        </w:rPr>
        <w:t xml:space="preserve"> There has been no disclosure of an assessment or mitigation plans. The company’s decisions to locate cloud datacenters in human rights hot spots occur behind closed doors, without transparency.  </w:t>
      </w:r>
    </w:p>
    <w:p w14:paraId="15C73742" w14:textId="77777777" w:rsidR="00E617E2" w:rsidRPr="00E617E2" w:rsidRDefault="00E617E2" w:rsidP="00E617E2">
      <w:pPr>
        <w:spacing w:after="80"/>
        <w:rPr>
          <w:rFonts w:ascii="Arial" w:hAnsi="Arial" w:cs="Arial"/>
          <w:color w:val="000000"/>
          <w:sz w:val="20"/>
        </w:rPr>
      </w:pPr>
      <w:r w:rsidRPr="00E617E2">
        <w:rPr>
          <w:rFonts w:ascii="Arial" w:eastAsia="Arial" w:hAnsi="Arial" w:cs="Arial"/>
          <w:color w:val="000000" w:themeColor="text1"/>
          <w:sz w:val="18"/>
          <w:szCs w:val="18"/>
        </w:rPr>
        <w:t xml:space="preserve">A report sufficient to fulfill the proposal’s essential objectives would examine the scope, implementation, and robustness of the company’s human rights due diligence processes on </w:t>
      </w:r>
      <w:proofErr w:type="gramStart"/>
      <w:r w:rsidRPr="00E617E2">
        <w:rPr>
          <w:rFonts w:ascii="Arial" w:eastAsia="Arial" w:hAnsi="Arial" w:cs="Arial"/>
          <w:color w:val="000000" w:themeColor="text1"/>
          <w:sz w:val="18"/>
          <w:szCs w:val="18"/>
        </w:rPr>
        <w:t>siting</w:t>
      </w:r>
      <w:proofErr w:type="gramEnd"/>
      <w:r w:rsidRPr="00E617E2">
        <w:rPr>
          <w:rFonts w:ascii="Arial" w:eastAsia="Arial" w:hAnsi="Arial" w:cs="Arial"/>
          <w:color w:val="000000" w:themeColor="text1"/>
          <w:sz w:val="18"/>
          <w:szCs w:val="18"/>
        </w:rPr>
        <w:t xml:space="preserve"> of cloud computing operations. It would assess, with an eye toward the </w:t>
      </w:r>
      <w:r w:rsidRPr="00E617E2">
        <w:rPr>
          <w:rFonts w:ascii="Arial" w:eastAsia="Arial" w:hAnsi="Arial" w:cs="Arial"/>
          <w:i/>
          <w:color w:val="000000" w:themeColor="text1"/>
          <w:sz w:val="18"/>
          <w:szCs w:val="18"/>
        </w:rPr>
        <w:t xml:space="preserve">rights enshrined in the Universal Declaration of Human Rights, the standards established in the UNGPs and in the Global Network Initiative Principles, </w:t>
      </w:r>
      <w:r w:rsidRPr="00E617E2">
        <w:rPr>
          <w:rFonts w:ascii="Arial" w:eastAsia="Arial" w:hAnsi="Arial" w:cs="Arial"/>
          <w:color w:val="000000" w:themeColor="text1"/>
          <w:sz w:val="18"/>
          <w:szCs w:val="18"/>
        </w:rPr>
        <w:t>the</w:t>
      </w:r>
      <w:r w:rsidRPr="00E617E2">
        <w:rPr>
          <w:rFonts w:ascii="Arial" w:eastAsia="Arial" w:hAnsi="Arial" w:cs="Arial"/>
          <w:i/>
          <w:color w:val="000000" w:themeColor="text1"/>
          <w:sz w:val="18"/>
          <w:szCs w:val="18"/>
        </w:rPr>
        <w:t xml:space="preserve"> </w:t>
      </w:r>
      <w:r w:rsidRPr="00E617E2">
        <w:rPr>
          <w:rFonts w:ascii="Arial" w:eastAsia="Arial" w:hAnsi="Arial" w:cs="Arial"/>
          <w:color w:val="000000" w:themeColor="text1"/>
          <w:sz w:val="18"/>
          <w:szCs w:val="18"/>
        </w:rPr>
        <w:t xml:space="preserve">priorities and potential impacts on people, any mitigating actions, any tracking of outcomes, and whether the company identifies and engages rights-holders to ensure its human rights efforts are well informed. </w:t>
      </w:r>
    </w:p>
    <w:p w14:paraId="169FA1AA" w14:textId="77777777" w:rsidR="00E617E2" w:rsidRPr="00E617E2" w:rsidRDefault="00E617E2" w:rsidP="00E617E2">
      <w:pPr>
        <w:spacing w:after="143"/>
        <w:rPr>
          <w:rFonts w:ascii="Arial" w:hAnsi="Arial" w:cs="Arial"/>
          <w:color w:val="000000"/>
          <w:sz w:val="20"/>
        </w:rPr>
      </w:pPr>
      <w:r w:rsidRPr="00E617E2">
        <w:rPr>
          <w:rFonts w:ascii="Arial" w:eastAsia="Arial" w:hAnsi="Arial" w:cs="Arial"/>
          <w:color w:val="000000"/>
          <w:sz w:val="20"/>
        </w:rPr>
        <w:t xml:space="preserve">  </w:t>
      </w:r>
    </w:p>
    <w:p w14:paraId="0509C390" w14:textId="77777777" w:rsidR="00E617E2" w:rsidRPr="00E617E2" w:rsidRDefault="00E617E2" w:rsidP="00E617E2">
      <w:pPr>
        <w:rPr>
          <w:rFonts w:ascii="Arial" w:eastAsia="Calibri" w:hAnsi="Arial" w:cs="Arial"/>
          <w:color w:val="000000"/>
          <w:sz w:val="20"/>
        </w:rPr>
      </w:pPr>
      <w:r w:rsidRPr="00E617E2">
        <w:rPr>
          <w:rFonts w:ascii="Arial" w:eastAsia="Calibri" w:hAnsi="Arial" w:cs="Arial"/>
          <w:color w:val="000000"/>
          <w:sz w:val="20"/>
        </w:rPr>
        <w:br w:type="page"/>
      </w:r>
    </w:p>
    <w:p w14:paraId="62A025C1" w14:textId="77777777" w:rsidR="00E617E2" w:rsidRPr="00E617E2" w:rsidRDefault="00E617E2" w:rsidP="00E617E2">
      <w:pPr>
        <w:keepNext/>
        <w:spacing w:before="120" w:after="120"/>
        <w:rPr>
          <w:rFonts w:ascii="Arial" w:hAnsi="Arial" w:cs="Arial"/>
          <w:sz w:val="18"/>
          <w:szCs w:val="18"/>
        </w:rPr>
      </w:pPr>
      <w:r w:rsidRPr="00E617E2">
        <w:rPr>
          <w:rFonts w:ascii="Arial" w:hAnsi="Arial" w:cs="Arial"/>
          <w:b/>
          <w:bCs/>
          <w:color w:val="0075C9"/>
          <w:sz w:val="18"/>
          <w:szCs w:val="18"/>
        </w:rPr>
        <w:lastRenderedPageBreak/>
        <w:t xml:space="preserve">Board Recommendation </w:t>
      </w:r>
    </w:p>
    <w:p w14:paraId="34D55107" w14:textId="77777777" w:rsidR="00E617E2" w:rsidRPr="00E617E2" w:rsidRDefault="00E617E2" w:rsidP="00E617E2">
      <w:pPr>
        <w:keepNext/>
        <w:spacing w:before="120" w:after="120"/>
        <w:rPr>
          <w:rFonts w:ascii="Arial" w:hAnsi="Arial" w:cs="Arial"/>
          <w:sz w:val="18"/>
          <w:szCs w:val="18"/>
        </w:rPr>
      </w:pPr>
      <w:r w:rsidRPr="00E617E2">
        <w:rPr>
          <w:rFonts w:ascii="Arial" w:hAnsi="Arial" w:cs="Arial"/>
          <w:b/>
          <w:bCs/>
          <w:i/>
          <w:iCs/>
          <w:color w:val="0075C9"/>
          <w:sz w:val="18"/>
          <w:szCs w:val="18"/>
        </w:rPr>
        <w:t xml:space="preserve">The Board of Directors recommends a vote AGAINST the proposal for the following reasons: </w:t>
      </w:r>
    </w:p>
    <w:p w14:paraId="7692534E" w14:textId="77777777" w:rsidR="00E617E2" w:rsidRPr="00E617E2" w:rsidRDefault="00E617E2" w:rsidP="00E617E2">
      <w:pPr>
        <w:keepNext/>
        <w:spacing w:before="120" w:after="120"/>
        <w:rPr>
          <w:rFonts w:ascii="Arial" w:hAnsi="Arial" w:cs="Arial"/>
          <w:sz w:val="18"/>
          <w:szCs w:val="18"/>
        </w:rPr>
      </w:pPr>
      <w:r w:rsidRPr="00E617E2">
        <w:rPr>
          <w:rFonts w:ascii="Arial" w:hAnsi="Arial" w:cs="Arial"/>
          <w:b/>
          <w:bCs/>
          <w:sz w:val="18"/>
          <w:szCs w:val="18"/>
        </w:rPr>
        <w:t xml:space="preserve">COMPANY STATEMENT IN OPPOSITION </w:t>
      </w:r>
    </w:p>
    <w:p w14:paraId="6692C867" w14:textId="77777777" w:rsidR="00E617E2" w:rsidRPr="00E617E2" w:rsidRDefault="00E617E2" w:rsidP="00E617E2">
      <w:pPr>
        <w:spacing w:after="80"/>
        <w:rPr>
          <w:rFonts w:ascii="Arial" w:hAnsi="Arial" w:cs="Arial"/>
          <w:sz w:val="18"/>
          <w:szCs w:val="18"/>
        </w:rPr>
      </w:pPr>
      <w:r w:rsidRPr="00E617E2">
        <w:rPr>
          <w:rFonts w:ascii="Arial" w:hAnsi="Arial" w:cs="Arial"/>
          <w:sz w:val="18"/>
          <w:szCs w:val="18"/>
        </w:rPr>
        <w:t xml:space="preserve">The requested report is not necessary because of Microsoft’s articulated human rights commitments, due diligence processes, and ongoing public reporting on human rights which we have publicly reported at </w:t>
      </w:r>
      <w:hyperlink r:id="rId65">
        <w:r w:rsidRPr="00E617E2">
          <w:rPr>
            <w:rFonts w:ascii="Arial" w:hAnsi="Arial" w:cs="Arial"/>
            <w:color w:val="000000" w:themeColor="text1"/>
            <w:sz w:val="18"/>
            <w:szCs w:val="18"/>
            <w:u w:val="single"/>
          </w:rPr>
          <w:t>Human Rights: Technology &amp; Human Rights | Microsoft CSR</w:t>
        </w:r>
      </w:hyperlink>
      <w:r w:rsidRPr="00E617E2">
        <w:rPr>
          <w:rFonts w:ascii="Arial" w:hAnsi="Arial" w:cs="Arial"/>
          <w:color w:val="000000" w:themeColor="text1"/>
          <w:sz w:val="18"/>
          <w:szCs w:val="18"/>
          <w:u w:val="single"/>
        </w:rPr>
        <w:t xml:space="preserve"> </w:t>
      </w:r>
      <w:r w:rsidRPr="00E617E2">
        <w:rPr>
          <w:rFonts w:ascii="Arial" w:hAnsi="Arial" w:cs="Arial"/>
          <w:sz w:val="18"/>
          <w:szCs w:val="18"/>
        </w:rPr>
        <w:t xml:space="preserve">and an existing public statement explaining our approach to </w:t>
      </w:r>
      <w:hyperlink r:id="rId66">
        <w:r w:rsidRPr="00E617E2">
          <w:rPr>
            <w:rFonts w:ascii="Arial" w:hAnsi="Arial" w:cs="Arial"/>
            <w:color w:val="000000" w:themeColor="text1"/>
            <w:sz w:val="18"/>
            <w:szCs w:val="18"/>
            <w:u w:val="single"/>
          </w:rPr>
          <w:t>Operating datacenters in countries or regions with human rights challenges (microsoft.com)</w:t>
        </w:r>
      </w:hyperlink>
      <w:r w:rsidRPr="00E617E2">
        <w:rPr>
          <w:rFonts w:ascii="Arial" w:hAnsi="Arial" w:cs="Arial"/>
          <w:color w:val="000000" w:themeColor="text1"/>
          <w:sz w:val="18"/>
          <w:szCs w:val="18"/>
          <w:u w:val="single"/>
        </w:rPr>
        <w:t>.</w:t>
      </w:r>
    </w:p>
    <w:p w14:paraId="281EF501" w14:textId="77777777" w:rsidR="00E617E2" w:rsidRPr="00E617E2" w:rsidRDefault="00E617E2" w:rsidP="00E617E2">
      <w:pPr>
        <w:spacing w:after="80"/>
        <w:rPr>
          <w:rFonts w:ascii="Arial" w:hAnsi="Arial" w:cs="Arial"/>
          <w:color w:val="0000FF"/>
          <w:sz w:val="18"/>
          <w:szCs w:val="18"/>
          <w:u w:val="single"/>
        </w:rPr>
      </w:pPr>
      <w:r w:rsidRPr="00E617E2">
        <w:rPr>
          <w:rFonts w:ascii="Arial" w:hAnsi="Arial" w:cs="Arial"/>
          <w:sz w:val="18"/>
          <w:szCs w:val="18"/>
        </w:rPr>
        <w:t xml:space="preserve">For context, the world is embracing digital technologies and expressing the need for Microsoft and other companies to expand availability of cloud computing platforms and technologies across the globe. Customer demand, especially on the part of multinational enterprises, engineering constraints, and regulatory </w:t>
      </w:r>
      <w:proofErr w:type="gramStart"/>
      <w:r w:rsidRPr="00E617E2">
        <w:rPr>
          <w:rFonts w:ascii="Arial" w:hAnsi="Arial" w:cs="Arial"/>
          <w:sz w:val="18"/>
          <w:szCs w:val="18"/>
        </w:rPr>
        <w:t>requirements</w:t>
      </w:r>
      <w:proofErr w:type="gramEnd"/>
      <w:r w:rsidRPr="00E617E2">
        <w:rPr>
          <w:rFonts w:ascii="Arial" w:hAnsi="Arial" w:cs="Arial"/>
          <w:sz w:val="18"/>
          <w:szCs w:val="18"/>
        </w:rPr>
        <w:t xml:space="preserve"> are all driving the establishment and operation of datacenters in more countries around the world. </w:t>
      </w:r>
    </w:p>
    <w:p w14:paraId="46A9FC2F" w14:textId="77777777" w:rsidR="00E617E2" w:rsidRPr="00E617E2" w:rsidRDefault="00E617E2" w:rsidP="00E617E2">
      <w:pPr>
        <w:spacing w:after="80"/>
        <w:rPr>
          <w:rFonts w:ascii="Arial" w:hAnsi="Arial" w:cs="Arial"/>
          <w:sz w:val="18"/>
          <w:szCs w:val="18"/>
        </w:rPr>
      </w:pPr>
      <w:r w:rsidRPr="00E617E2">
        <w:rPr>
          <w:rFonts w:ascii="Arial" w:hAnsi="Arial" w:cs="Arial"/>
          <w:sz w:val="18"/>
          <w:szCs w:val="18"/>
        </w:rPr>
        <w:t xml:space="preserve">Microsoft seeks to operate responsibly and in accordance with our global commitment to respect human rights and the rule of law. When considering expansion of our datacenter footprint to new countries we conduct due diligence to assess the impact of our technologies on human rights, looking to international principles and norms such as the UN Guiding Principles on Business and Human Rights to guide our diligence. We use what we learn from these studies to challenge our thinking, develop and refine our policies and practices, mitigate risks, and improve our technologies and how we provide them to fulfill our commitment to human rights. </w:t>
      </w:r>
    </w:p>
    <w:p w14:paraId="023C623B" w14:textId="77777777" w:rsidR="00E617E2" w:rsidRPr="00E617E2" w:rsidRDefault="00E617E2" w:rsidP="00E617E2">
      <w:pPr>
        <w:spacing w:after="80"/>
        <w:rPr>
          <w:rFonts w:ascii="Arial" w:hAnsi="Arial" w:cs="Arial"/>
          <w:sz w:val="18"/>
          <w:szCs w:val="18"/>
        </w:rPr>
      </w:pPr>
      <w:r w:rsidRPr="00E617E2">
        <w:rPr>
          <w:rFonts w:ascii="Arial" w:hAnsi="Arial" w:cs="Arial"/>
          <w:sz w:val="18"/>
          <w:szCs w:val="18"/>
        </w:rPr>
        <w:t xml:space="preserve">Datacenter risk mitigation measures typically take any or all of three forms: exclusion of specific types of services (e.g., consumer services), technologies (e.g., facial recognition technology), and/or specific types of customers (e.g., law enforcement agencies). </w:t>
      </w:r>
    </w:p>
    <w:p w14:paraId="61912C07" w14:textId="77777777" w:rsidR="00E617E2" w:rsidRPr="00E617E2" w:rsidRDefault="00E617E2" w:rsidP="00E617E2">
      <w:pPr>
        <w:spacing w:after="80"/>
        <w:rPr>
          <w:rFonts w:ascii="Arial" w:hAnsi="Arial" w:cs="Arial"/>
          <w:sz w:val="18"/>
          <w:szCs w:val="18"/>
        </w:rPr>
      </w:pPr>
      <w:r w:rsidRPr="00E617E2">
        <w:rPr>
          <w:rFonts w:ascii="Arial" w:hAnsi="Arial" w:cs="Arial"/>
          <w:sz w:val="18"/>
          <w:szCs w:val="18"/>
        </w:rPr>
        <w:t>M</w:t>
      </w:r>
      <w:r w:rsidRPr="00E617E2">
        <w:rPr>
          <w:rFonts w:ascii="Arial" w:hAnsi="Arial" w:cs="Arial"/>
          <w:color w:val="000000" w:themeColor="text1"/>
          <w:sz w:val="18"/>
          <w:szCs w:val="18"/>
        </w:rPr>
        <w:t>icrosoft followed this process in evaluating the establishment of a new cloud datacenter region in Saudi Arabia and determining it could be operated in a way consistent with Microsoft’s commitment to protecting fundamental rights and focus on responsible cloud practices.</w:t>
      </w:r>
    </w:p>
    <w:p w14:paraId="1952E409" w14:textId="77777777" w:rsidR="00E617E2" w:rsidRPr="00E617E2" w:rsidRDefault="00E617E2" w:rsidP="00E617E2">
      <w:pPr>
        <w:spacing w:after="80"/>
        <w:rPr>
          <w:rFonts w:ascii="Arial" w:hAnsi="Arial" w:cs="Arial"/>
          <w:sz w:val="18"/>
          <w:szCs w:val="18"/>
        </w:rPr>
      </w:pPr>
      <w:r w:rsidRPr="00E617E2">
        <w:rPr>
          <w:rFonts w:ascii="Arial" w:hAnsi="Arial" w:cs="Arial"/>
          <w:sz w:val="18"/>
          <w:szCs w:val="18"/>
        </w:rPr>
        <w:t>Customer and technical demand for more cloud computing infrastructure will continue to grow, and Microsoft is not the only provider of such services. That is why we worked with other major cloud service providers to develop, agree to, and publish the Trusted Cloud Principles (</w:t>
      </w:r>
      <w:hyperlink r:id="rId67" w:history="1">
        <w:r w:rsidRPr="00E617E2">
          <w:rPr>
            <w:rFonts w:ascii="Arial" w:hAnsi="Arial" w:cs="Arial"/>
            <w:color w:val="000000" w:themeColor="text1"/>
            <w:sz w:val="18"/>
            <w:szCs w:val="18"/>
            <w:u w:val="single"/>
          </w:rPr>
          <w:t>Announcing Trusted Cloud Principles</w:t>
        </w:r>
      </w:hyperlink>
      <w:r w:rsidRPr="00E617E2">
        <w:rPr>
          <w:rFonts w:ascii="Arial" w:hAnsi="Arial" w:cs="Arial"/>
          <w:sz w:val="18"/>
          <w:szCs w:val="18"/>
        </w:rPr>
        <w:t xml:space="preserve">). With these principles Microsoft and other leading cloud computing services companies publicly commit to: </w:t>
      </w:r>
    </w:p>
    <w:p w14:paraId="1C02EF6F" w14:textId="77777777" w:rsidR="00E617E2" w:rsidRPr="00E617E2" w:rsidRDefault="00E617E2" w:rsidP="00E617E2">
      <w:pPr>
        <w:numPr>
          <w:ilvl w:val="0"/>
          <w:numId w:val="17"/>
        </w:numPr>
        <w:spacing w:after="80" w:line="259" w:lineRule="auto"/>
        <w:ind w:left="180" w:hanging="180"/>
        <w:contextualSpacing/>
        <w:rPr>
          <w:rFonts w:ascii="Arial" w:eastAsiaTheme="minorHAnsi" w:hAnsi="Arial" w:cs="Arial"/>
          <w:kern w:val="2"/>
          <w:sz w:val="18"/>
          <w:szCs w:val="18"/>
          <w14:ligatures w14:val="standardContextual"/>
        </w:rPr>
      </w:pPr>
      <w:r w:rsidRPr="00E617E2">
        <w:rPr>
          <w:rFonts w:ascii="Arial" w:eastAsiaTheme="minorHAnsi" w:hAnsi="Arial" w:cs="Arial"/>
          <w:kern w:val="2"/>
          <w:sz w:val="18"/>
          <w:szCs w:val="18"/>
          <w14:ligatures w14:val="standardContextual"/>
        </w:rPr>
        <w:t xml:space="preserve">Maintain consistent human rights standards as we compete for cloud service business across the globe. </w:t>
      </w:r>
    </w:p>
    <w:p w14:paraId="37A837B6" w14:textId="77777777" w:rsidR="00E617E2" w:rsidRPr="00E617E2" w:rsidRDefault="00E617E2" w:rsidP="00E617E2">
      <w:pPr>
        <w:numPr>
          <w:ilvl w:val="0"/>
          <w:numId w:val="17"/>
        </w:numPr>
        <w:spacing w:after="80" w:line="259" w:lineRule="auto"/>
        <w:ind w:left="180" w:hanging="180"/>
        <w:contextualSpacing/>
        <w:rPr>
          <w:rFonts w:ascii="Arial" w:eastAsiaTheme="minorHAnsi" w:hAnsi="Arial" w:cs="Arial"/>
          <w:kern w:val="2"/>
          <w:sz w:val="18"/>
          <w:szCs w:val="18"/>
          <w14:ligatures w14:val="standardContextual"/>
        </w:rPr>
      </w:pPr>
      <w:r w:rsidRPr="00E617E2">
        <w:rPr>
          <w:rFonts w:ascii="Arial" w:eastAsiaTheme="minorHAnsi" w:hAnsi="Arial" w:cs="Arial"/>
          <w:kern w:val="2"/>
          <w:sz w:val="18"/>
          <w:szCs w:val="18"/>
          <w14:ligatures w14:val="standardContextual"/>
        </w:rPr>
        <w:t xml:space="preserve">Work with governments to ensure the free flow of data, to promote public safety, and to protect privacy and data security in the cloud. </w:t>
      </w:r>
    </w:p>
    <w:p w14:paraId="4B6E1869" w14:textId="77777777" w:rsidR="00E617E2" w:rsidRPr="00E617E2" w:rsidRDefault="00E617E2" w:rsidP="00E617E2">
      <w:pPr>
        <w:numPr>
          <w:ilvl w:val="0"/>
          <w:numId w:val="17"/>
        </w:numPr>
        <w:spacing w:after="80" w:line="259" w:lineRule="auto"/>
        <w:ind w:left="180" w:hanging="180"/>
        <w:contextualSpacing/>
        <w:rPr>
          <w:rFonts w:ascii="Arial" w:eastAsiaTheme="minorHAnsi" w:hAnsi="Arial" w:cs="Arial"/>
          <w:kern w:val="2"/>
          <w:sz w:val="18"/>
          <w:szCs w:val="18"/>
          <w14:ligatures w14:val="standardContextual"/>
        </w:rPr>
      </w:pPr>
      <w:r w:rsidRPr="00E617E2">
        <w:rPr>
          <w:rFonts w:ascii="Arial" w:eastAsiaTheme="minorHAnsi" w:hAnsi="Arial" w:cs="Arial"/>
          <w:kern w:val="2"/>
          <w:sz w:val="18"/>
          <w:szCs w:val="18"/>
          <w14:ligatures w14:val="standardContextual"/>
        </w:rPr>
        <w:t xml:space="preserve">Work with the tech sector, public interest groups, and policymakers around the world, particularly in the countries where we operate or plan to operate datacenters and cloud infrastructure, to ensure that laws and policies are substantially in line with the Trusted Cloud Principles. </w:t>
      </w:r>
    </w:p>
    <w:p w14:paraId="59AB3F12" w14:textId="77777777" w:rsidR="00E617E2" w:rsidRPr="00E617E2" w:rsidRDefault="00E617E2" w:rsidP="00E617E2">
      <w:pPr>
        <w:spacing w:after="80"/>
        <w:rPr>
          <w:rFonts w:ascii="Arial" w:hAnsi="Arial" w:cs="Arial"/>
          <w:sz w:val="18"/>
          <w:szCs w:val="18"/>
        </w:rPr>
      </w:pPr>
      <w:r w:rsidRPr="00E617E2">
        <w:rPr>
          <w:rFonts w:ascii="Arial" w:hAnsi="Arial" w:cs="Arial"/>
          <w:sz w:val="18"/>
          <w:szCs w:val="18"/>
        </w:rPr>
        <w:t>We recognize that decisions on where and how we operate and provide our technologies can have significant impact on human rights. As we pursue our mission to empower every person and every organization on the planet to achieve more, we will continue to conduct due diligence to assess the impact of our technologies on human rights, engage and learn from stakeholders, and model responsible business practices and respect for human rights.</w:t>
      </w:r>
    </w:p>
    <w:p w14:paraId="199F87F5" w14:textId="77777777" w:rsidR="00E617E2" w:rsidRPr="00E617E2" w:rsidRDefault="00E617E2" w:rsidP="00E617E2">
      <w:pPr>
        <w:rPr>
          <w:rFonts w:ascii="Arial" w:hAnsi="Arial" w:cs="Arial"/>
          <w:sz w:val="20"/>
        </w:rPr>
        <w:sectPr w:rsidR="00E617E2" w:rsidRPr="00E617E2" w:rsidSect="004929E2">
          <w:footnotePr>
            <w:numRestart w:val="eachSect"/>
          </w:footnotePr>
          <w:pgSz w:w="12240" w:h="15840"/>
          <w:pgMar w:top="720" w:right="720" w:bottom="720" w:left="720" w:header="720" w:footer="720" w:gutter="0"/>
          <w:cols w:space="720"/>
          <w:docGrid w:linePitch="360"/>
        </w:sectPr>
      </w:pPr>
    </w:p>
    <w:p w14:paraId="182F837E" w14:textId="77777777" w:rsidR="00E617E2" w:rsidRPr="00E617E2" w:rsidRDefault="00E617E2" w:rsidP="00E617E2">
      <w:pPr>
        <w:spacing w:after="80"/>
        <w:ind w:left="14"/>
        <w:rPr>
          <w:rFonts w:ascii="Arial" w:hAnsi="Arial" w:cs="Arial"/>
          <w:b/>
          <w:bCs/>
          <w:szCs w:val="24"/>
        </w:rPr>
      </w:pPr>
      <w:r w:rsidRPr="00E617E2">
        <w:rPr>
          <w:rFonts w:ascii="Arial" w:eastAsiaTheme="minorHAnsi" w:hAnsi="Arial" w:cs="Arial"/>
          <w:b/>
          <w:bCs/>
          <w:kern w:val="2"/>
          <w:szCs w:val="24"/>
          <w14:ligatures w14:val="standardContextual"/>
        </w:rPr>
        <w:lastRenderedPageBreak/>
        <w:t xml:space="preserve">Proposal 12: </w:t>
      </w:r>
      <w:r w:rsidRPr="00E617E2">
        <w:rPr>
          <w:rFonts w:ascii="Arial" w:hAnsi="Arial" w:cs="Arial"/>
          <w:b/>
          <w:bCs/>
          <w:szCs w:val="24"/>
        </w:rPr>
        <w:t>Mandate for Third-Party Political Reporting</w:t>
      </w:r>
      <w:r w:rsidRPr="00E617E2">
        <w:rPr>
          <w:rFonts w:ascii="Arial" w:eastAsiaTheme="minorHAnsi" w:hAnsi="Arial" w:cs="Arial"/>
          <w:b/>
          <w:bCs/>
          <w:kern w:val="2"/>
          <w:szCs w:val="24"/>
          <w14:ligatures w14:val="standardContextual"/>
        </w:rPr>
        <w:t xml:space="preserve"> </w:t>
      </w:r>
      <w:r w:rsidRPr="00E617E2">
        <w:rPr>
          <w:rFonts w:ascii="Arial" w:hAnsi="Arial" w:cs="Arial"/>
          <w:b/>
          <w:bCs/>
          <w:szCs w:val="24"/>
        </w:rPr>
        <w:t>(Shareholder Proposal)</w:t>
      </w:r>
    </w:p>
    <w:p w14:paraId="71D4492B" w14:textId="77777777" w:rsidR="00E617E2" w:rsidRPr="00E617E2" w:rsidRDefault="00E617E2" w:rsidP="00E617E2">
      <w:pPr>
        <w:spacing w:after="240"/>
        <w:ind w:left="14"/>
        <w:rPr>
          <w:rFonts w:ascii="Arial" w:hAnsi="Arial" w:cs="Arial"/>
          <w:b/>
          <w:color w:val="000000"/>
          <w:sz w:val="18"/>
          <w:szCs w:val="18"/>
        </w:rPr>
      </w:pPr>
      <w:proofErr w:type="spellStart"/>
      <w:r w:rsidRPr="00E617E2">
        <w:rPr>
          <w:rFonts w:ascii="Arial" w:hAnsi="Arial" w:cs="Arial"/>
          <w:sz w:val="18"/>
          <w:szCs w:val="18"/>
        </w:rPr>
        <w:t>Tulipshare</w:t>
      </w:r>
      <w:proofErr w:type="spellEnd"/>
      <w:r w:rsidRPr="00E617E2">
        <w:rPr>
          <w:rFonts w:ascii="Arial" w:hAnsi="Arial" w:cs="Arial"/>
          <w:sz w:val="18"/>
          <w:szCs w:val="18"/>
        </w:rPr>
        <w:t xml:space="preserve"> Capital LLC has advised us that they intend to submit the following proposal for consideration at the Annual Meeting.</w:t>
      </w:r>
    </w:p>
    <w:p w14:paraId="7807F300" w14:textId="77777777" w:rsidR="00E617E2" w:rsidRPr="00E617E2" w:rsidRDefault="00E617E2" w:rsidP="00E617E2">
      <w:pPr>
        <w:spacing w:after="80"/>
        <w:ind w:left="-5" w:right="7"/>
        <w:rPr>
          <w:rFonts w:ascii="Arial" w:hAnsi="Arial" w:cs="Arial"/>
          <w:color w:val="000000"/>
          <w:sz w:val="18"/>
          <w:szCs w:val="18"/>
        </w:rPr>
      </w:pPr>
      <w:r w:rsidRPr="00E617E2">
        <w:rPr>
          <w:rFonts w:ascii="Arial" w:hAnsi="Arial" w:cs="Arial"/>
          <w:b/>
          <w:color w:val="000000"/>
          <w:sz w:val="18"/>
          <w:szCs w:val="18"/>
        </w:rPr>
        <w:t>RESOLVED:</w:t>
      </w:r>
      <w:r w:rsidRPr="00E617E2">
        <w:rPr>
          <w:rFonts w:ascii="Arial" w:hAnsi="Arial" w:cs="Arial"/>
          <w:color w:val="000000"/>
          <w:sz w:val="18"/>
          <w:szCs w:val="18"/>
        </w:rPr>
        <w:t xml:space="preserve"> Microsoft shareholders request that the Company adopt a policy requiring that, prior to making a donation or expenditure that supports the political activities of any trade association, social welfare organization, or entity established and operated primarily to engage in political activities, Microsoft will require that the organization reports, at least annually, the organization’s expenditures for political activities, including the amount spent and the recipient, and that each such report be posted on Microsoft’s website. </w:t>
      </w:r>
    </w:p>
    <w:p w14:paraId="640234EB" w14:textId="77777777" w:rsidR="00E617E2" w:rsidRPr="00E617E2" w:rsidRDefault="00E617E2" w:rsidP="00E617E2">
      <w:pPr>
        <w:spacing w:after="120"/>
        <w:ind w:left="-5" w:right="7"/>
        <w:rPr>
          <w:rFonts w:ascii="Arial" w:hAnsi="Arial" w:cs="Arial"/>
          <w:color w:val="000000"/>
          <w:sz w:val="18"/>
          <w:szCs w:val="18"/>
        </w:rPr>
      </w:pPr>
      <w:r w:rsidRPr="00E617E2">
        <w:rPr>
          <w:rFonts w:ascii="Arial" w:hAnsi="Arial" w:cs="Arial"/>
          <w:color w:val="000000"/>
          <w:sz w:val="18"/>
          <w:szCs w:val="18"/>
        </w:rPr>
        <w:t>For purposes of this proposal, “political activities” are (</w:t>
      </w:r>
      <w:proofErr w:type="spellStart"/>
      <w:r w:rsidRPr="00E617E2">
        <w:rPr>
          <w:rFonts w:ascii="Arial" w:hAnsi="Arial" w:cs="Arial"/>
          <w:color w:val="000000"/>
          <w:sz w:val="18"/>
          <w:szCs w:val="18"/>
        </w:rPr>
        <w:t>i</w:t>
      </w:r>
      <w:proofErr w:type="spellEnd"/>
      <w:r w:rsidRPr="00E617E2">
        <w:rPr>
          <w:rFonts w:ascii="Arial" w:hAnsi="Arial" w:cs="Arial"/>
          <w:color w:val="000000"/>
          <w:sz w:val="18"/>
          <w:szCs w:val="18"/>
        </w:rPr>
        <w:t>) influencing or attempting to influence the selection, nomination, election, or appointment of any individual to a public office; or (ii) supporting a party, committee, association, fund, or other organization organized and operated primarily for the purpose of directly or indirectly accepting contributions or making expenditures to engage in the activities described in (</w:t>
      </w:r>
      <w:proofErr w:type="spellStart"/>
      <w:r w:rsidRPr="00E617E2">
        <w:rPr>
          <w:rFonts w:ascii="Arial" w:hAnsi="Arial" w:cs="Arial"/>
          <w:color w:val="000000"/>
          <w:sz w:val="18"/>
          <w:szCs w:val="18"/>
        </w:rPr>
        <w:t>i</w:t>
      </w:r>
      <w:proofErr w:type="spellEnd"/>
      <w:r w:rsidRPr="00E617E2">
        <w:rPr>
          <w:rFonts w:ascii="Arial" w:hAnsi="Arial" w:cs="Arial"/>
          <w:color w:val="000000"/>
          <w:sz w:val="18"/>
          <w:szCs w:val="18"/>
        </w:rPr>
        <w:t xml:space="preserve">). </w:t>
      </w:r>
    </w:p>
    <w:p w14:paraId="43B50731" w14:textId="77777777" w:rsidR="00E617E2" w:rsidRPr="00E617E2" w:rsidRDefault="00E617E2" w:rsidP="00E617E2">
      <w:pPr>
        <w:spacing w:after="80"/>
        <w:ind w:left="-5" w:right="7"/>
        <w:rPr>
          <w:rFonts w:ascii="Arial" w:hAnsi="Arial" w:cs="Arial"/>
          <w:color w:val="000000"/>
          <w:sz w:val="18"/>
          <w:szCs w:val="18"/>
        </w:rPr>
      </w:pPr>
      <w:r w:rsidRPr="00E617E2">
        <w:rPr>
          <w:rFonts w:ascii="Arial" w:hAnsi="Arial" w:cs="Arial"/>
          <w:b/>
          <w:color w:val="000000"/>
          <w:sz w:val="18"/>
          <w:szCs w:val="18"/>
        </w:rPr>
        <w:t xml:space="preserve">WHEREAS: </w:t>
      </w:r>
      <w:r w:rsidRPr="00E617E2">
        <w:rPr>
          <w:rFonts w:ascii="Arial" w:hAnsi="Arial" w:cs="Arial"/>
          <w:color w:val="000000"/>
          <w:sz w:val="18"/>
          <w:szCs w:val="18"/>
        </w:rPr>
        <w:t>Investors support transparency and accountability in corporate electoral spending, including indirect political spending. Misaligned or non-transparent funding creates reputational and legal risk that can harm the Company and its investors. Unless a company knows which candidates and political causes its funds support, it cannot assure investors that its spending aligns with values, business objectives, and policy positions. Without the information requested by this resolution, none of the board, management, or investors can assess the risks associated with political spending.</w:t>
      </w:r>
    </w:p>
    <w:p w14:paraId="12E1CB41" w14:textId="77777777" w:rsidR="00E617E2" w:rsidRPr="00E617E2" w:rsidRDefault="00E617E2" w:rsidP="00E617E2">
      <w:pPr>
        <w:spacing w:after="80"/>
        <w:ind w:left="-5" w:right="7"/>
        <w:rPr>
          <w:rFonts w:ascii="Arial" w:hAnsi="Arial" w:cs="Arial"/>
          <w:color w:val="000000"/>
          <w:sz w:val="18"/>
          <w:szCs w:val="18"/>
        </w:rPr>
      </w:pPr>
      <w:r w:rsidRPr="00E617E2">
        <w:rPr>
          <w:rFonts w:ascii="Arial" w:hAnsi="Arial" w:cs="Arial"/>
          <w:color w:val="000000"/>
          <w:sz w:val="18"/>
          <w:szCs w:val="18"/>
        </w:rPr>
        <w:t>The risks are especially serious when giving to trade associations, Super PACs, 527 committees, and “social welfare” organizations – groups that routinely pass money to or spend on behalf of candidates and political causes that a company might not wish to support. Contributions to third-party groups can lead to scandals, and widespread media coverage amplifies the risk such spending can pose. Reports show that ¼ Americans are boycotting a company they spent money on because of the company’s political expenditures.</w:t>
      </w:r>
      <w:r w:rsidRPr="00E617E2">
        <w:rPr>
          <w:rFonts w:ascii="Arial" w:hAnsi="Arial" w:cs="Arial"/>
          <w:color w:val="000000"/>
          <w:sz w:val="18"/>
          <w:szCs w:val="18"/>
          <w:vertAlign w:val="superscript"/>
        </w:rPr>
        <w:footnoteReference w:id="37"/>
      </w:r>
      <w:r w:rsidRPr="00E617E2">
        <w:rPr>
          <w:rFonts w:ascii="Arial" w:hAnsi="Arial" w:cs="Arial"/>
          <w:color w:val="000000"/>
          <w:sz w:val="18"/>
          <w:szCs w:val="18"/>
        </w:rPr>
        <w:t xml:space="preserve"> The Conference Board’s 2021 “Under a Microscope” report details these risks, discusses how to effectively manage them, and recommends the process suggested in this proposal.</w:t>
      </w:r>
      <w:r w:rsidRPr="00E617E2">
        <w:rPr>
          <w:rFonts w:ascii="Arial" w:hAnsi="Arial" w:cs="Arial"/>
          <w:color w:val="000000"/>
          <w:sz w:val="18"/>
          <w:szCs w:val="18"/>
          <w:vertAlign w:val="superscript"/>
        </w:rPr>
        <w:footnoteReference w:id="38"/>
      </w:r>
      <w:r w:rsidRPr="00E617E2">
        <w:rPr>
          <w:rFonts w:ascii="Arial" w:hAnsi="Arial" w:cs="Arial"/>
          <w:color w:val="000000"/>
          <w:sz w:val="18"/>
          <w:szCs w:val="18"/>
        </w:rPr>
        <w:t xml:space="preserve"> </w:t>
      </w:r>
    </w:p>
    <w:p w14:paraId="7B3F3807" w14:textId="77777777" w:rsidR="00E617E2" w:rsidRPr="00E617E2" w:rsidRDefault="00E617E2" w:rsidP="00E617E2">
      <w:pPr>
        <w:spacing w:after="80"/>
        <w:ind w:left="-5" w:right="7"/>
        <w:rPr>
          <w:rFonts w:ascii="Arial" w:hAnsi="Arial" w:cs="Arial"/>
          <w:color w:val="000000"/>
          <w:sz w:val="18"/>
          <w:szCs w:val="18"/>
        </w:rPr>
      </w:pPr>
      <w:r w:rsidRPr="00E617E2">
        <w:rPr>
          <w:rFonts w:ascii="Arial" w:hAnsi="Arial" w:cs="Arial"/>
          <w:color w:val="000000"/>
          <w:sz w:val="18"/>
          <w:szCs w:val="18"/>
        </w:rPr>
        <w:t>Microsoft’s 2022 public policy agenda asserts the Company’s support for fundamental rights of people.</w:t>
      </w:r>
      <w:r w:rsidRPr="00E617E2">
        <w:rPr>
          <w:rFonts w:ascii="Arial" w:hAnsi="Arial" w:cs="Arial"/>
          <w:color w:val="000000"/>
          <w:sz w:val="18"/>
          <w:szCs w:val="18"/>
          <w:vertAlign w:val="superscript"/>
        </w:rPr>
        <w:footnoteReference w:id="39"/>
      </w:r>
      <w:r w:rsidRPr="00E617E2">
        <w:rPr>
          <w:rFonts w:ascii="Arial" w:hAnsi="Arial" w:cs="Arial"/>
          <w:color w:val="000000"/>
          <w:sz w:val="18"/>
          <w:szCs w:val="18"/>
        </w:rPr>
        <w:t xml:space="preserve"> Following the repeal of </w:t>
      </w:r>
      <w:r w:rsidRPr="00E617E2">
        <w:rPr>
          <w:rFonts w:ascii="Arial" w:hAnsi="Arial" w:cs="Arial"/>
          <w:i/>
          <w:color w:val="000000"/>
          <w:sz w:val="18"/>
          <w:szCs w:val="18"/>
        </w:rPr>
        <w:t>Roe v. Wade</w:t>
      </w:r>
      <w:r w:rsidRPr="00E617E2">
        <w:rPr>
          <w:rFonts w:ascii="Arial" w:hAnsi="Arial" w:cs="Arial"/>
          <w:color w:val="000000"/>
          <w:sz w:val="18"/>
          <w:szCs w:val="18"/>
        </w:rPr>
        <w:t>, Microsoft stated that it will continue supporting employees in accessing critical healthcare like abortion.</w:t>
      </w:r>
      <w:r w:rsidRPr="00E617E2">
        <w:rPr>
          <w:rFonts w:ascii="Arial" w:hAnsi="Arial" w:cs="Arial"/>
          <w:color w:val="000000"/>
          <w:sz w:val="18"/>
          <w:szCs w:val="18"/>
          <w:vertAlign w:val="superscript"/>
        </w:rPr>
        <w:footnoteReference w:id="40"/>
      </w:r>
      <w:r w:rsidRPr="00E617E2">
        <w:rPr>
          <w:rFonts w:ascii="Arial" w:hAnsi="Arial" w:cs="Arial"/>
          <w:color w:val="000000"/>
          <w:sz w:val="18"/>
          <w:szCs w:val="18"/>
        </w:rPr>
        <w:t xml:space="preserve"> However, according to data from the Center for Political Accountability, since 2010 Microsoft has donated 3 million dollars to Republican groups</w:t>
      </w:r>
      <w:r w:rsidRPr="00E617E2">
        <w:rPr>
          <w:rFonts w:ascii="Arial" w:hAnsi="Arial" w:cs="Arial"/>
          <w:color w:val="000000"/>
          <w:sz w:val="18"/>
          <w:szCs w:val="18"/>
          <w:vertAlign w:val="superscript"/>
        </w:rPr>
        <w:footnoteReference w:id="41"/>
      </w:r>
      <w:r w:rsidRPr="00E617E2">
        <w:rPr>
          <w:rFonts w:ascii="Arial" w:hAnsi="Arial" w:cs="Arial"/>
          <w:color w:val="000000"/>
          <w:sz w:val="18"/>
          <w:szCs w:val="18"/>
        </w:rPr>
        <w:t xml:space="preserve"> (such groups have successfully campaigned to ban nearly all abortions in fifteen states),</w:t>
      </w:r>
      <w:r w:rsidRPr="00E617E2">
        <w:rPr>
          <w:rFonts w:ascii="Arial" w:hAnsi="Arial" w:cs="Arial"/>
          <w:color w:val="000000"/>
          <w:sz w:val="18"/>
          <w:szCs w:val="18"/>
          <w:vertAlign w:val="superscript"/>
        </w:rPr>
        <w:t xml:space="preserve">6 </w:t>
      </w:r>
      <w:r w:rsidRPr="00E617E2">
        <w:rPr>
          <w:rFonts w:ascii="Arial" w:hAnsi="Arial" w:cs="Arial"/>
          <w:color w:val="000000"/>
          <w:sz w:val="18"/>
          <w:szCs w:val="18"/>
        </w:rPr>
        <w:t xml:space="preserve"> and at least 5 million dollars overall in corporate funds to third-party groups. </w:t>
      </w:r>
    </w:p>
    <w:p w14:paraId="43556652" w14:textId="77777777" w:rsidR="00E617E2" w:rsidRPr="00E617E2" w:rsidRDefault="00E617E2" w:rsidP="00E617E2">
      <w:pPr>
        <w:spacing w:after="80"/>
        <w:ind w:left="-5" w:right="7"/>
        <w:rPr>
          <w:rFonts w:ascii="Arial" w:hAnsi="Arial" w:cs="Arial"/>
          <w:color w:val="000000"/>
          <w:sz w:val="18"/>
          <w:szCs w:val="18"/>
        </w:rPr>
      </w:pPr>
      <w:r w:rsidRPr="00E617E2">
        <w:rPr>
          <w:rFonts w:ascii="Arial" w:hAnsi="Arial" w:cs="Arial"/>
          <w:color w:val="000000"/>
          <w:sz w:val="18"/>
          <w:szCs w:val="18"/>
        </w:rPr>
        <w:t xml:space="preserve">It is unclear whether Microsoft’s Board received sufficient information from these groups to assess the potential risks for the Company and stockholders, and whether the </w:t>
      </w:r>
      <w:proofErr w:type="gramStart"/>
      <w:r w:rsidRPr="00E617E2">
        <w:rPr>
          <w:rFonts w:ascii="Arial" w:hAnsi="Arial" w:cs="Arial"/>
          <w:color w:val="000000"/>
          <w:sz w:val="18"/>
          <w:szCs w:val="18"/>
        </w:rPr>
        <w:t>groups’</w:t>
      </w:r>
      <w:proofErr w:type="gramEnd"/>
      <w:r w:rsidRPr="00E617E2">
        <w:rPr>
          <w:rFonts w:ascii="Arial" w:hAnsi="Arial" w:cs="Arial"/>
          <w:color w:val="000000"/>
          <w:sz w:val="18"/>
          <w:szCs w:val="18"/>
        </w:rPr>
        <w:t xml:space="preserve"> expenditures aligned with Microsoft’s core values, business objectives, and policy positions.  </w:t>
      </w:r>
    </w:p>
    <w:p w14:paraId="3E432258" w14:textId="77777777" w:rsidR="00E617E2" w:rsidRPr="00E617E2" w:rsidRDefault="00E617E2" w:rsidP="00E617E2">
      <w:pPr>
        <w:spacing w:after="80"/>
        <w:ind w:left="-5" w:right="7"/>
        <w:rPr>
          <w:rFonts w:ascii="Arial" w:hAnsi="Arial" w:cs="Arial"/>
          <w:color w:val="000000"/>
          <w:sz w:val="18"/>
          <w:szCs w:val="18"/>
        </w:rPr>
      </w:pPr>
      <w:r w:rsidRPr="00E617E2">
        <w:rPr>
          <w:rFonts w:ascii="Arial" w:hAnsi="Arial" w:cs="Arial"/>
          <w:color w:val="000000"/>
          <w:sz w:val="18"/>
          <w:szCs w:val="18"/>
        </w:rPr>
        <w:t xml:space="preserve">Therefore, it is important for Microsoft to enhance its reporting and political spending practices to eradicate risks.  </w:t>
      </w:r>
    </w:p>
    <w:p w14:paraId="3089598B" w14:textId="77777777" w:rsidR="00E617E2" w:rsidRPr="00E617E2" w:rsidRDefault="00E617E2" w:rsidP="00E617E2">
      <w:pPr>
        <w:spacing w:after="80"/>
        <w:ind w:left="-5" w:right="7"/>
        <w:rPr>
          <w:rFonts w:ascii="Arial" w:hAnsi="Arial" w:cs="Arial"/>
          <w:color w:val="000000"/>
          <w:sz w:val="20"/>
        </w:rPr>
      </w:pPr>
      <w:r w:rsidRPr="00E617E2">
        <w:rPr>
          <w:rFonts w:ascii="Arial" w:hAnsi="Arial" w:cs="Arial"/>
          <w:color w:val="000000"/>
          <w:sz w:val="18"/>
          <w:szCs w:val="18"/>
        </w:rPr>
        <w:t xml:space="preserve">We urge Microsoft to mandate reports from third-party groups receiving Microsoft political money. </w:t>
      </w:r>
      <w:r w:rsidRPr="00E617E2">
        <w:rPr>
          <w:rFonts w:ascii="Arial" w:eastAsia="Arial" w:hAnsi="Arial" w:cs="Arial"/>
          <w:color w:val="000000"/>
          <w:sz w:val="18"/>
          <w:szCs w:val="18"/>
        </w:rPr>
        <w:t xml:space="preserve"> </w:t>
      </w:r>
    </w:p>
    <w:p w14:paraId="203CFF97" w14:textId="77777777" w:rsidR="00E617E2" w:rsidRPr="00E617E2" w:rsidRDefault="00E617E2" w:rsidP="00E617E2">
      <w:pPr>
        <w:rPr>
          <w:rFonts w:ascii="Arial" w:hAnsi="Arial" w:cs="Arial"/>
          <w:sz w:val="20"/>
        </w:rPr>
      </w:pPr>
      <w:r w:rsidRPr="00E617E2">
        <w:rPr>
          <w:rFonts w:ascii="Arial" w:hAnsi="Arial" w:cs="Arial"/>
          <w:sz w:val="20"/>
        </w:rPr>
        <w:br w:type="page"/>
      </w:r>
    </w:p>
    <w:p w14:paraId="5F261261" w14:textId="77777777" w:rsidR="00E617E2" w:rsidRPr="00E617E2" w:rsidRDefault="00E617E2" w:rsidP="00E617E2">
      <w:pPr>
        <w:keepNext/>
        <w:spacing w:before="120" w:after="120"/>
        <w:rPr>
          <w:rFonts w:ascii="Arial" w:hAnsi="Arial" w:cs="Arial"/>
          <w:sz w:val="18"/>
          <w:szCs w:val="18"/>
        </w:rPr>
      </w:pPr>
      <w:r w:rsidRPr="00E617E2">
        <w:rPr>
          <w:rFonts w:ascii="Arial" w:hAnsi="Arial" w:cs="Arial"/>
          <w:b/>
          <w:bCs/>
          <w:color w:val="0075C9"/>
          <w:sz w:val="18"/>
          <w:szCs w:val="18"/>
        </w:rPr>
        <w:lastRenderedPageBreak/>
        <w:t xml:space="preserve">Board Recommendation </w:t>
      </w:r>
    </w:p>
    <w:p w14:paraId="529BFADD" w14:textId="77777777" w:rsidR="00E617E2" w:rsidRPr="00E617E2" w:rsidRDefault="00E617E2" w:rsidP="00E617E2">
      <w:pPr>
        <w:keepNext/>
        <w:spacing w:before="120" w:after="120"/>
        <w:rPr>
          <w:rFonts w:ascii="Arial" w:hAnsi="Arial" w:cs="Arial"/>
          <w:sz w:val="18"/>
          <w:szCs w:val="18"/>
        </w:rPr>
      </w:pPr>
      <w:r w:rsidRPr="00E617E2">
        <w:rPr>
          <w:rFonts w:ascii="Arial" w:hAnsi="Arial" w:cs="Arial"/>
          <w:b/>
          <w:bCs/>
          <w:i/>
          <w:iCs/>
          <w:color w:val="0075C9"/>
          <w:sz w:val="18"/>
          <w:szCs w:val="18"/>
        </w:rPr>
        <w:t xml:space="preserve">The Board of Directors recommends a vote AGAINST the proposal for the following reasons: </w:t>
      </w:r>
    </w:p>
    <w:p w14:paraId="44F3D224" w14:textId="77777777" w:rsidR="00E617E2" w:rsidRPr="00E617E2" w:rsidRDefault="00E617E2" w:rsidP="00E617E2">
      <w:pPr>
        <w:keepNext/>
        <w:spacing w:before="120" w:after="120"/>
        <w:rPr>
          <w:rFonts w:ascii="Arial" w:hAnsi="Arial" w:cs="Arial"/>
          <w:sz w:val="18"/>
          <w:szCs w:val="18"/>
        </w:rPr>
      </w:pPr>
      <w:r w:rsidRPr="00E617E2">
        <w:rPr>
          <w:rFonts w:ascii="Arial" w:hAnsi="Arial" w:cs="Arial"/>
          <w:b/>
          <w:bCs/>
          <w:sz w:val="18"/>
          <w:szCs w:val="18"/>
        </w:rPr>
        <w:t xml:space="preserve">COMPANY STATEMENT IN OPPOSITION </w:t>
      </w:r>
    </w:p>
    <w:p w14:paraId="58D19175" w14:textId="77777777" w:rsidR="00E617E2" w:rsidRPr="00E617E2" w:rsidRDefault="00E617E2" w:rsidP="00E617E2">
      <w:pPr>
        <w:spacing w:before="80" w:after="80"/>
        <w:rPr>
          <w:rFonts w:ascii="Arial" w:hAnsi="Arial" w:cs="Arial"/>
          <w:sz w:val="18"/>
          <w:szCs w:val="18"/>
        </w:rPr>
      </w:pPr>
      <w:r w:rsidRPr="00E617E2">
        <w:rPr>
          <w:rFonts w:ascii="Arial" w:hAnsi="Arial" w:cs="Arial"/>
          <w:sz w:val="18"/>
          <w:szCs w:val="18"/>
        </w:rPr>
        <w:t>The requested report is unnecessary because of Microsoft’s long track record of meeting best practices for disclosure on public policy engagement broadly and specifically around transparency and alignment related to trade associations and political groups.</w:t>
      </w:r>
    </w:p>
    <w:p w14:paraId="7AC6224C" w14:textId="77777777" w:rsidR="00E617E2" w:rsidRPr="00E617E2" w:rsidRDefault="00E617E2" w:rsidP="00E617E2">
      <w:pPr>
        <w:spacing w:before="80" w:after="80"/>
        <w:rPr>
          <w:rFonts w:ascii="Arial" w:hAnsi="Arial" w:cs="Arial"/>
          <w:sz w:val="18"/>
          <w:szCs w:val="18"/>
        </w:rPr>
      </w:pPr>
      <w:r w:rsidRPr="00E617E2">
        <w:rPr>
          <w:rFonts w:ascii="Arial" w:hAnsi="Arial" w:cs="Arial"/>
          <w:sz w:val="18"/>
          <w:szCs w:val="18"/>
        </w:rPr>
        <w:t>Microsoft has been recognized for its leadership on transparency around its engagement in the policy process including Political Action Committee contributions and lobbying expenditures through rankings such as the Center for Political Accountability-</w:t>
      </w:r>
      <w:proofErr w:type="spellStart"/>
      <w:r w:rsidRPr="00E617E2">
        <w:rPr>
          <w:rFonts w:ascii="Arial" w:hAnsi="Arial" w:cs="Arial"/>
          <w:sz w:val="18"/>
          <w:szCs w:val="18"/>
        </w:rPr>
        <w:t>Zicklin</w:t>
      </w:r>
      <w:proofErr w:type="spellEnd"/>
      <w:r w:rsidRPr="00E617E2">
        <w:rPr>
          <w:rFonts w:ascii="Arial" w:hAnsi="Arial" w:cs="Arial"/>
          <w:sz w:val="18"/>
          <w:szCs w:val="18"/>
        </w:rPr>
        <w:t xml:space="preserve"> Index. We strive to ensure that our participation in the political process is open, transparent, and based on reasons that are clear and justifiable to our shareholders and the public.</w:t>
      </w:r>
    </w:p>
    <w:p w14:paraId="1E1EB3EC" w14:textId="77777777" w:rsidR="00E617E2" w:rsidRPr="00E617E2" w:rsidRDefault="00E617E2" w:rsidP="00E617E2">
      <w:pPr>
        <w:spacing w:before="80" w:after="80"/>
        <w:rPr>
          <w:rFonts w:ascii="Arial" w:hAnsi="Arial" w:cs="Arial"/>
          <w:sz w:val="18"/>
          <w:szCs w:val="18"/>
        </w:rPr>
      </w:pPr>
      <w:r w:rsidRPr="00E617E2">
        <w:rPr>
          <w:rFonts w:ascii="Arial" w:hAnsi="Arial" w:cs="Arial"/>
          <w:sz w:val="18"/>
          <w:szCs w:val="18"/>
        </w:rPr>
        <w:t xml:space="preserve">Microsoft has adopted Principles for Engagement in the Public Policy Process in the United States. These principles address issues specific to the U.S. political and fundraising system and include commitments to go well beyond legally required disclosures. These principles and Microsoft’s extensive set of political disclosures are available at </w:t>
      </w:r>
      <w:r w:rsidRPr="00E617E2">
        <w:rPr>
          <w:rFonts w:ascii="Arial" w:hAnsi="Arial" w:cs="Arial"/>
          <w:sz w:val="18"/>
          <w:szCs w:val="18"/>
          <w:u w:val="single"/>
        </w:rPr>
        <w:t>Public policy engagement | Microsoft CSR</w:t>
      </w:r>
      <w:r w:rsidRPr="00E617E2">
        <w:rPr>
          <w:rFonts w:ascii="Arial" w:hAnsi="Arial" w:cs="Arial"/>
          <w:sz w:val="18"/>
          <w:szCs w:val="18"/>
        </w:rPr>
        <w:t xml:space="preserve"> (</w:t>
      </w:r>
      <w:hyperlink r:id="rId68" w:history="1">
        <w:r w:rsidRPr="00E617E2">
          <w:rPr>
            <w:rFonts w:ascii="Arial" w:hAnsi="Arial" w:cs="Arial"/>
            <w:color w:val="000000" w:themeColor="text1"/>
            <w:sz w:val="18"/>
            <w:szCs w:val="18"/>
            <w:u w:val="single"/>
          </w:rPr>
          <w:t>microsoft.com/en-us/corporate-responsibility/public-policy-engagement</w:t>
        </w:r>
      </w:hyperlink>
      <w:r w:rsidRPr="00E617E2">
        <w:rPr>
          <w:rFonts w:ascii="Arial" w:hAnsi="Arial" w:cs="Arial"/>
          <w:sz w:val="18"/>
          <w:szCs w:val="18"/>
        </w:rPr>
        <w:t xml:space="preserve">). </w:t>
      </w:r>
    </w:p>
    <w:p w14:paraId="1AE93762" w14:textId="77777777" w:rsidR="00E617E2" w:rsidRPr="00E617E2" w:rsidRDefault="00E617E2" w:rsidP="00E617E2">
      <w:pPr>
        <w:spacing w:before="80" w:after="80"/>
        <w:rPr>
          <w:rFonts w:ascii="Arial" w:hAnsi="Arial" w:cs="Arial"/>
          <w:sz w:val="18"/>
          <w:szCs w:val="18"/>
        </w:rPr>
      </w:pPr>
      <w:r w:rsidRPr="00E617E2">
        <w:rPr>
          <w:rFonts w:ascii="Arial" w:hAnsi="Arial" w:cs="Arial"/>
          <w:sz w:val="18"/>
          <w:szCs w:val="18"/>
        </w:rPr>
        <w:t xml:space="preserve">Microsoft is a member of various industry and trade groups that represent both the tech industry and the business community at large to bring about consensus on broad policy issues that can impact Microsoft’s business objectives. Microsoft is among a relatively small number of companies that provide transparency on memberships in trade associations managed by our U.S. Government Affairs team. In June 2023 we further enhanced our political disclosures with our first-ever Lobbying Alignment Report, which provides further visibility into our policy engagement and partnerships. In particular, that report details Microsoft’s policy position and the positions of several of the largest trade associations we work with and describes the degree of alignment or misalignment between them. </w:t>
      </w:r>
    </w:p>
    <w:p w14:paraId="7FFE6B7C" w14:textId="77777777" w:rsidR="00E617E2" w:rsidRPr="00E617E2" w:rsidRDefault="00E617E2" w:rsidP="00E617E2">
      <w:pPr>
        <w:spacing w:before="80" w:after="80"/>
        <w:rPr>
          <w:rFonts w:ascii="Arial" w:hAnsi="Arial" w:cs="Arial"/>
          <w:sz w:val="18"/>
          <w:szCs w:val="18"/>
        </w:rPr>
      </w:pPr>
      <w:r w:rsidRPr="00E617E2">
        <w:rPr>
          <w:rFonts w:ascii="Arial" w:hAnsi="Arial" w:cs="Arial"/>
          <w:sz w:val="18"/>
          <w:szCs w:val="18"/>
        </w:rPr>
        <w:t>Our support of these organizations is evaluated annually by the Company’s U.S. government relations leaders based on these organizations’ expertise in policy and advocacy and support of key issues of importance to Microsoft. Microsoft’s participation as a member of these various industry and trade groups comes with the understanding that we may not always agree with each position taken by the larger organization and/or other members. Some misalignment is an unavoidable consequence of any collective endeavor. Nevertheless, we monitor where and to what extent our trade associations are misaligned with the Company on such issues. Where possible, we will advocate for the trade association to come into alignment, but if an organization’s misalignment is egregious, and the membership benefits to Microsoft and its stakeholders are outweighed by the misalignments, we will reduce or end our involvement with the organization.</w:t>
      </w:r>
    </w:p>
    <w:p w14:paraId="5E6E7FC9" w14:textId="77777777" w:rsidR="00E617E2" w:rsidRPr="00E617E2" w:rsidRDefault="00E617E2" w:rsidP="00E617E2">
      <w:pPr>
        <w:spacing w:before="80" w:after="80"/>
        <w:rPr>
          <w:rFonts w:ascii="Arial" w:hAnsi="Arial" w:cs="Arial"/>
          <w:sz w:val="18"/>
          <w:szCs w:val="18"/>
        </w:rPr>
      </w:pPr>
      <w:r w:rsidRPr="00E617E2">
        <w:rPr>
          <w:rFonts w:ascii="Arial" w:hAnsi="Arial" w:cs="Arial"/>
          <w:sz w:val="18"/>
          <w:szCs w:val="18"/>
        </w:rPr>
        <w:t>From a governance and alignment perspective, the Environmental, Social, and Public Policy Committee of Microsoft’s Board of Directors is responsible for overseeing many of our environmental and social commitments and is also responsible for overseeing our public policy agenda, position on significant public policy matters, and the Company’s government relations activities and political activities and expenditures.</w:t>
      </w:r>
    </w:p>
    <w:p w14:paraId="50293914" w14:textId="77777777" w:rsidR="00E617E2" w:rsidRPr="00E617E2" w:rsidRDefault="00E617E2" w:rsidP="00E617E2">
      <w:pPr>
        <w:spacing w:before="80" w:after="80"/>
        <w:rPr>
          <w:rFonts w:ascii="Arial" w:hAnsi="Arial" w:cs="Arial"/>
          <w:sz w:val="20"/>
        </w:rPr>
        <w:sectPr w:rsidR="00E617E2" w:rsidRPr="00E617E2" w:rsidSect="004929E2">
          <w:footnotePr>
            <w:numRestart w:val="eachSect"/>
          </w:footnotePr>
          <w:pgSz w:w="12240" w:h="15840"/>
          <w:pgMar w:top="720" w:right="720" w:bottom="720" w:left="720" w:header="720" w:footer="720" w:gutter="0"/>
          <w:cols w:space="720"/>
          <w:docGrid w:linePitch="360"/>
        </w:sectPr>
      </w:pPr>
      <w:r w:rsidRPr="00E617E2">
        <w:rPr>
          <w:rFonts w:ascii="Arial" w:hAnsi="Arial" w:cs="Arial"/>
          <w:sz w:val="18"/>
          <w:szCs w:val="18"/>
        </w:rPr>
        <w:t>Given our robust political disclosures and the focus on trade associations within our lobbying alignment report, we do not believe it to be practical or necessary for Microsoft to seek to impose reporting requirements on trade associations or political groups that we may work with.</w:t>
      </w:r>
    </w:p>
    <w:p w14:paraId="587FA628" w14:textId="77777777" w:rsidR="00E617E2" w:rsidRPr="00E617E2" w:rsidRDefault="00E617E2" w:rsidP="00E617E2">
      <w:pPr>
        <w:spacing w:after="80"/>
        <w:ind w:left="14"/>
        <w:rPr>
          <w:rFonts w:ascii="Arial" w:hAnsi="Arial" w:cs="Arial"/>
          <w:b/>
          <w:bCs/>
          <w:szCs w:val="24"/>
        </w:rPr>
      </w:pPr>
      <w:r w:rsidRPr="00E617E2">
        <w:rPr>
          <w:rFonts w:ascii="Arial" w:eastAsiaTheme="minorHAnsi" w:hAnsi="Arial" w:cs="Arial"/>
          <w:b/>
          <w:bCs/>
          <w:kern w:val="2"/>
          <w:szCs w:val="24"/>
          <w14:ligatures w14:val="standardContextual"/>
        </w:rPr>
        <w:lastRenderedPageBreak/>
        <w:t xml:space="preserve">Proposal 13: Report on AI Misinformation and Disinformation </w:t>
      </w:r>
      <w:r w:rsidRPr="00E617E2">
        <w:rPr>
          <w:rFonts w:ascii="Arial" w:hAnsi="Arial" w:cs="Arial"/>
          <w:b/>
          <w:bCs/>
          <w:szCs w:val="24"/>
        </w:rPr>
        <w:t>(Shareholder Proposal)</w:t>
      </w:r>
    </w:p>
    <w:p w14:paraId="2F03B8A5" w14:textId="77777777" w:rsidR="008E77B3" w:rsidRDefault="008E77B3" w:rsidP="00E617E2">
      <w:pPr>
        <w:spacing w:after="240"/>
        <w:ind w:left="14"/>
        <w:rPr>
          <w:rFonts w:ascii="Arial" w:hAnsi="Arial" w:cs="Arial"/>
          <w:sz w:val="18"/>
          <w:szCs w:val="18"/>
        </w:rPr>
        <w:sectPr w:rsidR="008E77B3" w:rsidSect="00647B28">
          <w:headerReference w:type="default" r:id="rId69"/>
          <w:footerReference w:type="default" r:id="rId70"/>
          <w:pgSz w:w="12240" w:h="15840"/>
          <w:pgMar w:top="720" w:right="720" w:bottom="720" w:left="720" w:header="720" w:footer="720" w:gutter="0"/>
          <w:pgNumType w:start="1"/>
          <w:cols w:space="720"/>
          <w:docGrid w:linePitch="326"/>
        </w:sectPr>
      </w:pPr>
    </w:p>
    <w:p w14:paraId="341629F8" w14:textId="77777777" w:rsidR="00E617E2" w:rsidRPr="00E617E2" w:rsidRDefault="00E617E2" w:rsidP="00E617E2">
      <w:pPr>
        <w:spacing w:after="240"/>
        <w:ind w:left="14"/>
        <w:rPr>
          <w:rFonts w:ascii="Arial" w:eastAsia="Calibri" w:hAnsi="Arial" w:cs="Arial"/>
          <w:b/>
          <w:color w:val="000000"/>
          <w:sz w:val="18"/>
          <w:szCs w:val="18"/>
        </w:rPr>
      </w:pPr>
      <w:r w:rsidRPr="00E617E2">
        <w:rPr>
          <w:rFonts w:ascii="Arial" w:hAnsi="Arial" w:cs="Arial"/>
          <w:sz w:val="18"/>
          <w:szCs w:val="18"/>
        </w:rPr>
        <w:t>Arjuna Capital and a co-</w:t>
      </w:r>
      <w:proofErr w:type="gramStart"/>
      <w:r w:rsidRPr="00E617E2">
        <w:rPr>
          <w:rFonts w:ascii="Arial" w:hAnsi="Arial" w:cs="Arial"/>
          <w:sz w:val="18"/>
          <w:szCs w:val="18"/>
        </w:rPr>
        <w:t>filer</w:t>
      </w:r>
      <w:proofErr w:type="gramEnd"/>
      <w:r w:rsidRPr="00E617E2">
        <w:rPr>
          <w:rFonts w:ascii="Arial" w:hAnsi="Arial" w:cs="Arial"/>
          <w:sz w:val="18"/>
          <w:szCs w:val="18"/>
        </w:rPr>
        <w:t xml:space="preserve"> have advised us that they intend to submit the following proposal for consideration at the Annual Meeting.</w:t>
      </w:r>
    </w:p>
    <w:p w14:paraId="5154D5FA" w14:textId="77777777" w:rsidR="00E617E2" w:rsidRPr="00E617E2" w:rsidRDefault="00E617E2" w:rsidP="00E617E2">
      <w:pPr>
        <w:spacing w:after="80"/>
        <w:rPr>
          <w:rFonts w:ascii="Arial" w:eastAsia="Calibri" w:hAnsi="Arial" w:cs="Arial"/>
          <w:color w:val="000000"/>
          <w:sz w:val="18"/>
          <w:szCs w:val="18"/>
        </w:rPr>
      </w:pPr>
      <w:r w:rsidRPr="00E617E2">
        <w:rPr>
          <w:rFonts w:ascii="Arial" w:eastAsia="Calibri" w:hAnsi="Arial" w:cs="Arial"/>
          <w:b/>
          <w:color w:val="000000"/>
          <w:sz w:val="18"/>
          <w:szCs w:val="18"/>
        </w:rPr>
        <w:t xml:space="preserve">Report on Misinformation and Disinformation </w:t>
      </w:r>
    </w:p>
    <w:p w14:paraId="3EA1AB37" w14:textId="77777777" w:rsidR="00E617E2" w:rsidRPr="00E617E2" w:rsidRDefault="00E617E2" w:rsidP="00E617E2">
      <w:pPr>
        <w:spacing w:after="80"/>
        <w:ind w:left="-5"/>
        <w:rPr>
          <w:rFonts w:ascii="Arial" w:eastAsia="Calibri" w:hAnsi="Arial" w:cs="Arial"/>
          <w:color w:val="000000"/>
          <w:sz w:val="18"/>
          <w:szCs w:val="18"/>
        </w:rPr>
      </w:pPr>
      <w:proofErr w:type="gramStart"/>
      <w:r w:rsidRPr="00E617E2">
        <w:rPr>
          <w:rFonts w:ascii="Arial" w:eastAsia="Calibri" w:hAnsi="Arial" w:cs="Arial"/>
          <w:b/>
          <w:color w:val="000000"/>
          <w:sz w:val="18"/>
          <w:szCs w:val="18"/>
        </w:rPr>
        <w:t>Whereas,</w:t>
      </w:r>
      <w:proofErr w:type="gramEnd"/>
      <w:r w:rsidRPr="00E617E2">
        <w:rPr>
          <w:rFonts w:ascii="Arial" w:eastAsia="Calibri" w:hAnsi="Arial" w:cs="Arial"/>
          <w:color w:val="000000"/>
          <w:sz w:val="18"/>
          <w:szCs w:val="18"/>
        </w:rPr>
        <w:t xml:space="preserve"> There is widespread concern that generative Artificial Intelligence (</w:t>
      </w:r>
      <w:proofErr w:type="gramStart"/>
      <w:r w:rsidRPr="00E617E2">
        <w:rPr>
          <w:rFonts w:ascii="Arial" w:eastAsia="Calibri" w:hAnsi="Arial" w:cs="Arial"/>
          <w:color w:val="000000"/>
          <w:sz w:val="18"/>
          <w:szCs w:val="18"/>
        </w:rPr>
        <w:t>AI) —</w:t>
      </w:r>
      <w:proofErr w:type="gramEnd"/>
      <w:r w:rsidRPr="00E617E2">
        <w:rPr>
          <w:rFonts w:ascii="Arial" w:eastAsia="Calibri" w:hAnsi="Arial" w:cs="Arial"/>
          <w:color w:val="000000"/>
          <w:sz w:val="18"/>
          <w:szCs w:val="18"/>
        </w:rPr>
        <w:t xml:space="preserve"> as exemplified by Microsoft’s ChatGPT — may dramatically increase misinformation and disinformation globally, posing serious threats to democracy and democratic principles.  </w:t>
      </w:r>
    </w:p>
    <w:p w14:paraId="5B323D30"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 xml:space="preserve">“I’m particularly worried that these models could be used for large-scale disinformation,” said Sam Altman, CEO of </w:t>
      </w:r>
    </w:p>
    <w:p w14:paraId="31623CF8"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OpenAI, the company that developed ChatGPT along with Microsoft.</w:t>
      </w:r>
      <w:r w:rsidRPr="00E617E2">
        <w:rPr>
          <w:rFonts w:ascii="Arial" w:eastAsia="Calibri" w:hAnsi="Arial" w:cs="Arial"/>
          <w:color w:val="000000"/>
          <w:sz w:val="18"/>
          <w:szCs w:val="18"/>
          <w:vertAlign w:val="superscript"/>
        </w:rPr>
        <w:footnoteReference w:id="42"/>
      </w:r>
      <w:r w:rsidRPr="00E617E2">
        <w:rPr>
          <w:rFonts w:ascii="Arial" w:eastAsia="Calibri" w:hAnsi="Arial" w:cs="Arial"/>
          <w:color w:val="000000"/>
          <w:sz w:val="18"/>
          <w:szCs w:val="18"/>
        </w:rPr>
        <w:t xml:space="preserve"> </w:t>
      </w:r>
    </w:p>
    <w:p w14:paraId="20C9CA77"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Microsoft has reportedly invested over 13 billion dollars in OpenAI, and has integrated ChatGPT in its Bing search engine and other products. ChatGPT is reportedly the fastest-growing consumer application in history.</w:t>
      </w:r>
      <w:r w:rsidRPr="00E617E2">
        <w:rPr>
          <w:rFonts w:ascii="Arial" w:eastAsia="Calibri" w:hAnsi="Arial" w:cs="Arial"/>
          <w:color w:val="000000"/>
          <w:sz w:val="18"/>
          <w:szCs w:val="18"/>
          <w:vertAlign w:val="superscript"/>
        </w:rPr>
        <w:footnoteReference w:id="43"/>
      </w:r>
      <w:r w:rsidRPr="00E617E2">
        <w:rPr>
          <w:rFonts w:ascii="Arial" w:eastAsia="Calibri" w:hAnsi="Arial" w:cs="Arial"/>
          <w:color w:val="000000"/>
          <w:sz w:val="18"/>
          <w:szCs w:val="18"/>
        </w:rPr>
        <w:t xml:space="preserve"> </w:t>
      </w:r>
    </w:p>
    <w:p w14:paraId="7868FEEF"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 xml:space="preserve">The </w:t>
      </w:r>
      <w:r w:rsidRPr="00E617E2">
        <w:rPr>
          <w:rFonts w:ascii="Arial" w:eastAsia="Calibri" w:hAnsi="Arial" w:cs="Arial"/>
          <w:i/>
          <w:color w:val="000000"/>
          <w:sz w:val="18"/>
          <w:szCs w:val="18"/>
        </w:rPr>
        <w:t>Washington Post</w:t>
      </w:r>
      <w:r w:rsidRPr="00E617E2">
        <w:rPr>
          <w:rFonts w:ascii="Arial" w:eastAsia="Calibri" w:hAnsi="Arial" w:cs="Arial"/>
          <w:color w:val="000000"/>
          <w:sz w:val="18"/>
          <w:szCs w:val="18"/>
        </w:rPr>
        <w:t xml:space="preserve"> said ChatGPT users “have posted numerous examples of the tools fumbling basic factual questions or even fabricating falsehoods, complete with realistic details and fake citations.”</w:t>
      </w:r>
      <w:r w:rsidRPr="00E617E2">
        <w:rPr>
          <w:rFonts w:ascii="Arial" w:eastAsia="Calibri" w:hAnsi="Arial" w:cs="Arial"/>
          <w:color w:val="000000"/>
          <w:sz w:val="18"/>
          <w:szCs w:val="18"/>
          <w:vertAlign w:val="superscript"/>
        </w:rPr>
        <w:footnoteReference w:id="44"/>
      </w:r>
      <w:r w:rsidRPr="00E617E2">
        <w:rPr>
          <w:rFonts w:ascii="Arial" w:eastAsia="Calibri" w:hAnsi="Arial" w:cs="Arial"/>
          <w:color w:val="000000"/>
          <w:sz w:val="18"/>
          <w:szCs w:val="18"/>
        </w:rPr>
        <w:t xml:space="preserve"> The </w:t>
      </w:r>
      <w:r w:rsidRPr="00E617E2">
        <w:rPr>
          <w:rFonts w:ascii="Arial" w:eastAsia="Calibri" w:hAnsi="Arial" w:cs="Arial"/>
          <w:i/>
          <w:color w:val="000000"/>
          <w:sz w:val="18"/>
          <w:szCs w:val="18"/>
        </w:rPr>
        <w:t>Guardian</w:t>
      </w:r>
      <w:r w:rsidRPr="00E617E2">
        <w:rPr>
          <w:rFonts w:ascii="Arial" w:eastAsia="Calibri" w:hAnsi="Arial" w:cs="Arial"/>
          <w:color w:val="000000"/>
          <w:sz w:val="18"/>
          <w:szCs w:val="18"/>
        </w:rPr>
        <w:t xml:space="preserve"> reported that “ChatGPT is making up fake Guardian articles.”</w:t>
      </w:r>
      <w:r w:rsidRPr="00E617E2">
        <w:rPr>
          <w:rFonts w:ascii="Arial" w:eastAsia="Calibri" w:hAnsi="Arial" w:cs="Arial"/>
          <w:color w:val="000000"/>
          <w:sz w:val="18"/>
          <w:szCs w:val="18"/>
          <w:vertAlign w:val="superscript"/>
        </w:rPr>
        <w:footnoteReference w:id="45"/>
      </w:r>
      <w:r w:rsidRPr="00E617E2">
        <w:rPr>
          <w:rFonts w:ascii="Arial" w:eastAsia="Calibri" w:hAnsi="Arial" w:cs="Arial"/>
          <w:color w:val="000000"/>
          <w:sz w:val="18"/>
          <w:szCs w:val="18"/>
        </w:rPr>
        <w:t xml:space="preserve"> Microsoft itself states: “Bing will sometimes misrepresent the information it finds, </w:t>
      </w:r>
    </w:p>
    <w:p w14:paraId="6F091081"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and you may see responses that sound convincing but are incomplete, inaccurate, or inappropriate.”</w:t>
      </w:r>
      <w:r w:rsidRPr="00E617E2">
        <w:rPr>
          <w:rFonts w:ascii="Arial" w:eastAsia="Calibri" w:hAnsi="Arial" w:cs="Arial"/>
          <w:color w:val="000000"/>
          <w:sz w:val="18"/>
          <w:szCs w:val="18"/>
          <w:vertAlign w:val="superscript"/>
        </w:rPr>
        <w:footnoteReference w:id="46"/>
      </w:r>
      <w:r w:rsidRPr="00E617E2">
        <w:rPr>
          <w:rFonts w:ascii="Arial" w:eastAsia="Calibri" w:hAnsi="Arial" w:cs="Arial"/>
          <w:color w:val="000000"/>
          <w:sz w:val="18"/>
          <w:szCs w:val="18"/>
        </w:rPr>
        <w:t xml:space="preserve"> Tests by </w:t>
      </w:r>
      <w:proofErr w:type="spellStart"/>
      <w:r w:rsidRPr="00E617E2">
        <w:rPr>
          <w:rFonts w:ascii="Arial" w:eastAsia="Calibri" w:hAnsi="Arial" w:cs="Arial"/>
          <w:color w:val="000000"/>
          <w:sz w:val="18"/>
          <w:szCs w:val="18"/>
        </w:rPr>
        <w:t>NewsGuard</w:t>
      </w:r>
      <w:proofErr w:type="spellEnd"/>
      <w:r w:rsidRPr="00E617E2">
        <w:rPr>
          <w:rFonts w:ascii="Arial" w:eastAsia="Calibri" w:hAnsi="Arial" w:cs="Arial"/>
          <w:color w:val="000000"/>
          <w:sz w:val="18"/>
          <w:szCs w:val="18"/>
        </w:rPr>
        <w:t xml:space="preserve"> found ChatGPT technology could be the most powerful tool in widely spreading misinformation.</w:t>
      </w:r>
      <w:r w:rsidRPr="00E617E2">
        <w:rPr>
          <w:rFonts w:ascii="Arial" w:eastAsia="Calibri" w:hAnsi="Arial" w:cs="Arial"/>
          <w:color w:val="000000"/>
          <w:sz w:val="18"/>
          <w:szCs w:val="18"/>
          <w:vertAlign w:val="superscript"/>
        </w:rPr>
        <w:footnoteReference w:id="47"/>
      </w:r>
      <w:r w:rsidRPr="00E617E2">
        <w:rPr>
          <w:rFonts w:ascii="Arial" w:eastAsia="Calibri" w:hAnsi="Arial" w:cs="Arial"/>
          <w:color w:val="000000"/>
          <w:sz w:val="18"/>
          <w:szCs w:val="18"/>
        </w:rPr>
        <w:t xml:space="preserve"> </w:t>
      </w:r>
    </w:p>
    <w:p w14:paraId="49CB2477"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Generative AI’s disinformation may pose serious risks to democracy by manipulating public opinion, undermining institutional trust, and swaying elections. In January, Eurasia Group ranked generative AI as the third highest political risk confronting the world, warning new technologies “will be a gift to autocrats bent on undermining democracy abroad and stifling dissent at home.”</w:t>
      </w:r>
      <w:r w:rsidRPr="00E617E2">
        <w:rPr>
          <w:rFonts w:ascii="Arial" w:eastAsia="Calibri" w:hAnsi="Arial" w:cs="Arial"/>
          <w:color w:val="000000"/>
          <w:sz w:val="18"/>
          <w:szCs w:val="18"/>
          <w:vertAlign w:val="superscript"/>
        </w:rPr>
        <w:footnoteReference w:id="48"/>
      </w:r>
      <w:r w:rsidRPr="00E617E2">
        <w:rPr>
          <w:rFonts w:ascii="Arial" w:eastAsia="Calibri" w:hAnsi="Arial" w:cs="Arial"/>
          <w:color w:val="000000"/>
          <w:sz w:val="18"/>
          <w:szCs w:val="18"/>
        </w:rPr>
        <w:t xml:space="preserve"> 2024 will be a critical year for elections, with a United States presidential election and significant Senate and House races.</w:t>
      </w:r>
      <w:r w:rsidRPr="00E617E2">
        <w:rPr>
          <w:rFonts w:ascii="Arial" w:eastAsia="Calibri" w:hAnsi="Arial" w:cs="Arial"/>
          <w:color w:val="000000"/>
          <w:sz w:val="18"/>
          <w:szCs w:val="18"/>
          <w:vertAlign w:val="superscript"/>
        </w:rPr>
        <w:footnoteReference w:id="49"/>
      </w:r>
      <w:r w:rsidRPr="00E617E2">
        <w:rPr>
          <w:rFonts w:ascii="Arial" w:eastAsia="Calibri" w:hAnsi="Arial" w:cs="Arial"/>
          <w:color w:val="000000"/>
          <w:sz w:val="18"/>
          <w:szCs w:val="18"/>
        </w:rPr>
        <w:t xml:space="preserve"> Presidential elections will also be held in Russia and Ukraine.</w:t>
      </w:r>
      <w:r w:rsidRPr="00E617E2">
        <w:rPr>
          <w:rFonts w:ascii="Arial" w:eastAsia="Calibri" w:hAnsi="Arial" w:cs="Arial"/>
          <w:color w:val="000000"/>
          <w:sz w:val="18"/>
          <w:szCs w:val="18"/>
          <w:vertAlign w:val="superscript"/>
        </w:rPr>
        <w:footnoteReference w:id="50"/>
      </w:r>
      <w:r w:rsidRPr="00E617E2">
        <w:rPr>
          <w:rFonts w:ascii="Arial" w:eastAsia="Calibri" w:hAnsi="Arial" w:cs="Arial"/>
          <w:color w:val="000000"/>
          <w:sz w:val="18"/>
          <w:szCs w:val="18"/>
        </w:rPr>
        <w:t xml:space="preserve"> </w:t>
      </w:r>
    </w:p>
    <w:p w14:paraId="1142CFF6"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Shareholders are concerned that ChatGPT presents Microsoft with significant legal, financial and reputational risk. Many legal experts believe technology companies’ liability shield provided under Section 230 of the Communications Decency Act may not apply to content generated by ChatGPT. Senator Wyden, who wrote the law, says Section 230 “has nothing to do with protecting companies from the consequences of their own actions and products.”</w:t>
      </w:r>
      <w:r w:rsidRPr="00E617E2">
        <w:rPr>
          <w:rFonts w:ascii="Arial" w:eastAsia="Calibri" w:hAnsi="Arial" w:cs="Arial"/>
          <w:color w:val="000000"/>
          <w:sz w:val="18"/>
          <w:szCs w:val="18"/>
          <w:vertAlign w:val="superscript"/>
        </w:rPr>
        <w:footnoteReference w:id="51"/>
      </w:r>
      <w:r w:rsidRPr="00E617E2">
        <w:rPr>
          <w:rFonts w:ascii="Arial" w:eastAsia="Calibri" w:hAnsi="Arial" w:cs="Arial"/>
          <w:color w:val="000000"/>
          <w:sz w:val="18"/>
          <w:szCs w:val="18"/>
        </w:rPr>
        <w:t xml:space="preserve"> Experts are also debating how the principles of defamation law apply to AI-generated falsehoods, which open the company up to substantial litigation risk.</w:t>
      </w:r>
      <w:r w:rsidRPr="00E617E2">
        <w:rPr>
          <w:rFonts w:ascii="Arial" w:eastAsia="Calibri" w:hAnsi="Arial" w:cs="Arial"/>
          <w:color w:val="000000"/>
          <w:sz w:val="18"/>
          <w:szCs w:val="18"/>
          <w:vertAlign w:val="superscript"/>
        </w:rPr>
        <w:footnoteReference w:id="52"/>
      </w:r>
      <w:r w:rsidRPr="00E617E2">
        <w:rPr>
          <w:rFonts w:ascii="Arial" w:eastAsia="Calibri" w:hAnsi="Arial" w:cs="Arial"/>
          <w:color w:val="000000"/>
          <w:sz w:val="18"/>
          <w:szCs w:val="18"/>
        </w:rPr>
        <w:t xml:space="preserve"> ChatGPT is already running afoul of regulators, with current investigations by European and Canadian data protection authorities.</w:t>
      </w:r>
      <w:r w:rsidRPr="00E617E2">
        <w:rPr>
          <w:rFonts w:ascii="Arial" w:eastAsia="Calibri" w:hAnsi="Arial" w:cs="Arial"/>
          <w:color w:val="000000"/>
          <w:sz w:val="18"/>
          <w:szCs w:val="18"/>
          <w:vertAlign w:val="superscript"/>
        </w:rPr>
        <w:footnoteReference w:id="53"/>
      </w:r>
      <w:r w:rsidRPr="00E617E2">
        <w:rPr>
          <w:rFonts w:ascii="Arial" w:eastAsia="Calibri" w:hAnsi="Arial" w:cs="Arial"/>
          <w:color w:val="000000"/>
          <w:sz w:val="18"/>
          <w:szCs w:val="18"/>
        </w:rPr>
        <w:t xml:space="preserve"> </w:t>
      </w:r>
    </w:p>
    <w:p w14:paraId="4B30C4F7" w14:textId="77777777" w:rsidR="00E617E2" w:rsidRPr="00E617E2" w:rsidRDefault="00E617E2" w:rsidP="00E617E2">
      <w:pPr>
        <w:spacing w:after="80"/>
        <w:ind w:left="-5"/>
        <w:rPr>
          <w:rFonts w:ascii="Arial" w:eastAsia="Calibri" w:hAnsi="Arial" w:cs="Arial"/>
          <w:color w:val="000000"/>
          <w:sz w:val="18"/>
          <w:szCs w:val="18"/>
        </w:rPr>
      </w:pPr>
      <w:r w:rsidRPr="00E617E2">
        <w:rPr>
          <w:rFonts w:ascii="Arial" w:eastAsia="Calibri" w:hAnsi="Arial" w:cs="Arial"/>
          <w:color w:val="000000"/>
          <w:sz w:val="18"/>
          <w:szCs w:val="18"/>
        </w:rPr>
        <w:t>In March, Microsoft eliminated its entire AI ethics and society team. Employees expressed concern that this leaves Microsoft without a dedicated team to ensure its AI principles are closely tied to product design.</w:t>
      </w:r>
      <w:r w:rsidRPr="00E617E2">
        <w:rPr>
          <w:rFonts w:ascii="Arial" w:eastAsia="Calibri" w:hAnsi="Arial" w:cs="Arial"/>
          <w:color w:val="000000"/>
          <w:sz w:val="18"/>
          <w:szCs w:val="18"/>
          <w:vertAlign w:val="superscript"/>
        </w:rPr>
        <w:footnoteReference w:id="54"/>
      </w:r>
      <w:r w:rsidRPr="00E617E2">
        <w:rPr>
          <w:rFonts w:ascii="Arial" w:eastAsia="Calibri" w:hAnsi="Arial" w:cs="Arial"/>
          <w:color w:val="000000"/>
          <w:sz w:val="18"/>
          <w:szCs w:val="18"/>
        </w:rPr>
        <w:t xml:space="preserve"> </w:t>
      </w:r>
    </w:p>
    <w:p w14:paraId="3CCF6A6F" w14:textId="77777777" w:rsidR="008E77B3" w:rsidRDefault="00E617E2" w:rsidP="00E617E2">
      <w:pPr>
        <w:spacing w:after="80"/>
        <w:ind w:left="-5"/>
        <w:rPr>
          <w:rFonts w:ascii="Arial" w:eastAsia="Calibri" w:hAnsi="Arial" w:cs="Arial"/>
          <w:color w:val="000000"/>
          <w:sz w:val="18"/>
          <w:szCs w:val="18"/>
        </w:rPr>
        <w:sectPr w:rsidR="008E77B3" w:rsidSect="008E77B3">
          <w:footnotePr>
            <w:numRestart w:val="eachPage"/>
          </w:footnotePr>
          <w:type w:val="continuous"/>
          <w:pgSz w:w="12240" w:h="15840"/>
          <w:pgMar w:top="720" w:right="720" w:bottom="720" w:left="720" w:header="720" w:footer="720" w:gutter="0"/>
          <w:pgNumType w:start="1"/>
          <w:cols w:space="720"/>
          <w:docGrid w:linePitch="326"/>
        </w:sectPr>
      </w:pPr>
      <w:r w:rsidRPr="00E617E2">
        <w:rPr>
          <w:rFonts w:ascii="Arial" w:eastAsia="Calibri" w:hAnsi="Arial" w:cs="Arial"/>
          <w:b/>
          <w:color w:val="000000"/>
          <w:sz w:val="18"/>
          <w:szCs w:val="18"/>
        </w:rPr>
        <w:t xml:space="preserve">Resolved, </w:t>
      </w:r>
      <w:r w:rsidRPr="00E617E2">
        <w:rPr>
          <w:rFonts w:ascii="Arial" w:eastAsia="Calibri" w:hAnsi="Arial" w:cs="Arial"/>
          <w:color w:val="000000"/>
          <w:sz w:val="18"/>
          <w:szCs w:val="18"/>
        </w:rPr>
        <w:t xml:space="preserve">Shareholders request the Board issue a report, at reasonable cost, omitting proprietary or legally privileged information, to be published within one year of the Annual Meeting and updated annually thereafter, assessing the risks to the Company’s operations and finances as well as risks to public welfare presented by the company’s role in facilitating misinformation and disinformation disseminated or generated via artificial intelligence, and what steps, if any, the company plans to remediate those harms, and the effectiveness of such efforts. </w:t>
      </w:r>
    </w:p>
    <w:p w14:paraId="29012534" w14:textId="77777777" w:rsidR="00E617E2" w:rsidRPr="00E617E2" w:rsidRDefault="00E617E2" w:rsidP="00E617E2">
      <w:pPr>
        <w:spacing w:after="80"/>
        <w:ind w:left="-5"/>
        <w:rPr>
          <w:rFonts w:ascii="Arial" w:eastAsia="Calibri" w:hAnsi="Arial" w:cs="Arial"/>
          <w:color w:val="000000"/>
          <w:sz w:val="20"/>
        </w:rPr>
      </w:pPr>
    </w:p>
    <w:p w14:paraId="2BFCFDD4" w14:textId="77777777" w:rsidR="00E617E2" w:rsidRPr="00E617E2" w:rsidRDefault="00E617E2" w:rsidP="00E617E2">
      <w:pPr>
        <w:rPr>
          <w:rFonts w:ascii="Arial" w:hAnsi="Arial" w:cs="Arial"/>
          <w:sz w:val="20"/>
        </w:rPr>
      </w:pPr>
      <w:r w:rsidRPr="00E617E2">
        <w:rPr>
          <w:rFonts w:ascii="Arial" w:hAnsi="Arial" w:cs="Arial"/>
          <w:sz w:val="20"/>
        </w:rPr>
        <w:br w:type="page"/>
      </w:r>
    </w:p>
    <w:p w14:paraId="23A281DD" w14:textId="77777777" w:rsidR="00E617E2" w:rsidRPr="00E617E2" w:rsidRDefault="00E617E2" w:rsidP="00E617E2">
      <w:pPr>
        <w:keepNext/>
        <w:spacing w:before="120" w:after="120"/>
        <w:rPr>
          <w:rFonts w:ascii="Arial" w:hAnsi="Arial" w:cs="Arial"/>
          <w:sz w:val="20"/>
        </w:rPr>
      </w:pPr>
      <w:r w:rsidRPr="00E617E2">
        <w:rPr>
          <w:rFonts w:ascii="Arial" w:hAnsi="Arial" w:cs="Arial"/>
          <w:b/>
          <w:bCs/>
          <w:color w:val="0075C9"/>
          <w:sz w:val="20"/>
        </w:rPr>
        <w:lastRenderedPageBreak/>
        <w:t xml:space="preserve">Board Recommendation </w:t>
      </w:r>
    </w:p>
    <w:p w14:paraId="2C5CB894" w14:textId="77777777" w:rsidR="00E617E2" w:rsidRPr="00E617E2" w:rsidRDefault="00E617E2" w:rsidP="00E617E2">
      <w:pPr>
        <w:keepNext/>
        <w:spacing w:before="120" w:after="120"/>
        <w:rPr>
          <w:rFonts w:ascii="Arial" w:hAnsi="Arial" w:cs="Arial"/>
          <w:sz w:val="20"/>
        </w:rPr>
      </w:pPr>
      <w:r w:rsidRPr="00E617E2">
        <w:rPr>
          <w:rFonts w:ascii="Arial" w:hAnsi="Arial" w:cs="Arial"/>
          <w:b/>
          <w:bCs/>
          <w:i/>
          <w:iCs/>
          <w:color w:val="0075C9"/>
          <w:sz w:val="20"/>
        </w:rPr>
        <w:t xml:space="preserve">The Board of Directors recommends a vote AGAINST the proposal for the following reasons: </w:t>
      </w:r>
    </w:p>
    <w:p w14:paraId="7C21CF91" w14:textId="77777777" w:rsidR="00E617E2" w:rsidRPr="00E617E2" w:rsidRDefault="00E617E2" w:rsidP="00E617E2">
      <w:pPr>
        <w:keepNext/>
        <w:spacing w:before="120" w:after="120"/>
        <w:rPr>
          <w:rFonts w:ascii="Arial" w:hAnsi="Arial" w:cs="Arial"/>
          <w:sz w:val="18"/>
          <w:szCs w:val="18"/>
        </w:rPr>
      </w:pPr>
      <w:r w:rsidRPr="00E617E2">
        <w:rPr>
          <w:rFonts w:ascii="Arial" w:hAnsi="Arial" w:cs="Arial"/>
          <w:b/>
          <w:sz w:val="18"/>
          <w:szCs w:val="18"/>
        </w:rPr>
        <w:t xml:space="preserve">COMPANY STATEMENT IN OPPOSITION </w:t>
      </w:r>
    </w:p>
    <w:p w14:paraId="3824EAA8" w14:textId="77777777" w:rsidR="00E617E2" w:rsidRPr="00DD2EB1" w:rsidRDefault="00E617E2" w:rsidP="00E617E2">
      <w:pPr>
        <w:textAlignment w:val="baseline"/>
        <w:rPr>
          <w:rFonts w:ascii="Segoe UI" w:hAnsi="Segoe UI" w:cs="Segoe UI"/>
          <w:sz w:val="18"/>
          <w:szCs w:val="18"/>
        </w:rPr>
      </w:pPr>
      <w:r w:rsidRPr="00E617E2">
        <w:rPr>
          <w:rFonts w:ascii="Arial" w:hAnsi="Arial" w:cs="Arial"/>
          <w:color w:val="000000"/>
          <w:sz w:val="18"/>
          <w:szCs w:val="18"/>
          <w:shd w:val="clear" w:color="auto" w:fill="FFFFFF"/>
        </w:rPr>
        <w:t>We believe Microsoft’s multi-faceted program to address the risks of misinformation and disinformation is longstanding and effective. We are already engaged in multiple different types of public reporting on our efforts, including those required under the European Union’s Code of Practice on Disinformation and the Australian Code of Practice on Disinformation and Misinformation. In a further demonstration of our commitment to transparency, Microsoft committed to the United States Government in July 2023 that it would prepare a new annual transparency report on its AI governance practices which will cover our approach to mitigating the risk of AI-generated misinf</w:t>
      </w:r>
      <w:r w:rsidRPr="00DD2EB1">
        <w:rPr>
          <w:rFonts w:ascii="Arial" w:hAnsi="Arial" w:cs="Arial"/>
          <w:sz w:val="18"/>
          <w:szCs w:val="18"/>
          <w:shd w:val="clear" w:color="auto" w:fill="FFFFFF"/>
        </w:rPr>
        <w:t xml:space="preserve">ormation and disinformation. As a result, the additional report requested by the proponent is unnecessary to inform shareholders of our approach to managing the risks of misinformation and disinformation, including those related to AI.  </w:t>
      </w:r>
      <w:r w:rsidRPr="00DD2EB1">
        <w:rPr>
          <w:rFonts w:ascii="Arial" w:hAnsi="Arial" w:cs="Arial"/>
          <w:sz w:val="18"/>
          <w:szCs w:val="18"/>
        </w:rPr>
        <w:t>  </w:t>
      </w:r>
    </w:p>
    <w:p w14:paraId="7B4B07F8" w14:textId="77777777" w:rsidR="00E617E2" w:rsidRPr="00DD2EB1" w:rsidRDefault="00E617E2" w:rsidP="00E617E2">
      <w:pPr>
        <w:spacing w:before="120" w:after="80"/>
        <w:textAlignment w:val="baseline"/>
        <w:rPr>
          <w:rFonts w:ascii="Segoe UI" w:hAnsi="Segoe UI" w:cs="Segoe UI"/>
          <w:sz w:val="18"/>
          <w:szCs w:val="18"/>
        </w:rPr>
      </w:pPr>
      <w:r w:rsidRPr="00DD2EB1">
        <w:rPr>
          <w:rFonts w:ascii="Arial" w:hAnsi="Arial" w:cs="Arial"/>
          <w:b/>
          <w:bCs/>
          <w:sz w:val="18"/>
          <w:szCs w:val="18"/>
          <w:shd w:val="clear" w:color="auto" w:fill="FFFFFF"/>
        </w:rPr>
        <w:t xml:space="preserve">Our multi-faceted program </w:t>
      </w:r>
      <w:proofErr w:type="gramStart"/>
      <w:r w:rsidRPr="00DD2EB1">
        <w:rPr>
          <w:rFonts w:ascii="Arial" w:hAnsi="Arial" w:cs="Arial"/>
          <w:b/>
          <w:bCs/>
          <w:sz w:val="18"/>
          <w:szCs w:val="18"/>
          <w:shd w:val="clear" w:color="auto" w:fill="FFFFFF"/>
        </w:rPr>
        <w:t>to address</w:t>
      </w:r>
      <w:proofErr w:type="gramEnd"/>
      <w:r w:rsidRPr="00DD2EB1">
        <w:rPr>
          <w:rFonts w:ascii="Arial" w:hAnsi="Arial" w:cs="Arial"/>
          <w:b/>
          <w:bCs/>
          <w:sz w:val="18"/>
          <w:szCs w:val="18"/>
          <w:shd w:val="clear" w:color="auto" w:fill="FFFFFF"/>
        </w:rPr>
        <w:t xml:space="preserve"> the risks of misinformation and disinformation.</w:t>
      </w:r>
      <w:r w:rsidRPr="00DD2EB1">
        <w:rPr>
          <w:rFonts w:ascii="Arial" w:hAnsi="Arial" w:cs="Arial"/>
          <w:sz w:val="18"/>
          <w:szCs w:val="18"/>
        </w:rPr>
        <w:t> </w:t>
      </w:r>
    </w:p>
    <w:p w14:paraId="087DA63D" w14:textId="77777777" w:rsidR="00E617E2" w:rsidRPr="00DD2EB1" w:rsidRDefault="00E617E2" w:rsidP="00E617E2">
      <w:pPr>
        <w:textAlignment w:val="baseline"/>
        <w:rPr>
          <w:rFonts w:ascii="Segoe UI" w:hAnsi="Segoe UI" w:cs="Segoe UI"/>
          <w:sz w:val="18"/>
          <w:szCs w:val="18"/>
        </w:rPr>
      </w:pPr>
      <w:r w:rsidRPr="00DD2EB1">
        <w:rPr>
          <w:rFonts w:ascii="Arial" w:hAnsi="Arial" w:cs="Arial"/>
          <w:sz w:val="18"/>
          <w:szCs w:val="18"/>
          <w:shd w:val="clear" w:color="auto" w:fill="FFFFFF"/>
        </w:rPr>
        <w:t>Microsoft has played a leading role in identifying and seeking to neutralize state-sponsored information influence campaigns targeting political parties in the United States, Ukraine, and democracies around the world. Our Democracy Forward Initiative works to protect campaigns from hacking, increase political advertising transparency, defend against disinformation, ensure a healthy information ecosystem, and uphold fair and secure electoral processes in democratic countries.</w:t>
      </w:r>
      <w:r w:rsidRPr="00DD2EB1">
        <w:rPr>
          <w:rFonts w:ascii="Arial" w:hAnsi="Arial" w:cs="Arial"/>
          <w:sz w:val="18"/>
          <w:szCs w:val="18"/>
        </w:rPr>
        <w:t xml:space="preserve"> See more at </w:t>
      </w:r>
      <w:hyperlink r:id="rId71" w:tgtFrame="_blank" w:history="1">
        <w:r w:rsidRPr="00DD2EB1">
          <w:rPr>
            <w:rFonts w:ascii="Arial" w:hAnsi="Arial" w:cs="Arial"/>
            <w:sz w:val="18"/>
            <w:szCs w:val="18"/>
            <w:u w:val="single"/>
          </w:rPr>
          <w:t>https://www.microsoft.com/en-us/corporate-responsibility/protect-fundamental-rights</w:t>
        </w:r>
      </w:hyperlink>
      <w:r w:rsidRPr="00DD2EB1">
        <w:rPr>
          <w:rFonts w:ascii="Arial" w:hAnsi="Arial" w:cs="Arial"/>
          <w:sz w:val="18"/>
          <w:szCs w:val="18"/>
        </w:rPr>
        <w:t>.  </w:t>
      </w:r>
    </w:p>
    <w:p w14:paraId="575F306D" w14:textId="77777777" w:rsidR="00E617E2" w:rsidRPr="00DD2EB1" w:rsidRDefault="00E617E2" w:rsidP="00E617E2">
      <w:pPr>
        <w:spacing w:before="80"/>
        <w:textAlignment w:val="baseline"/>
        <w:rPr>
          <w:rFonts w:ascii="Segoe UI" w:hAnsi="Segoe UI" w:cs="Segoe UI"/>
          <w:sz w:val="18"/>
          <w:szCs w:val="18"/>
        </w:rPr>
      </w:pPr>
      <w:r w:rsidRPr="00DD2EB1">
        <w:rPr>
          <w:rFonts w:ascii="Arial" w:hAnsi="Arial" w:cs="Arial"/>
          <w:sz w:val="18"/>
          <w:szCs w:val="18"/>
        </w:rPr>
        <w:t xml:space="preserve">In July 2022, Microsoft completed the acquisition of </w:t>
      </w:r>
      <w:proofErr w:type="spellStart"/>
      <w:r w:rsidRPr="00DD2EB1">
        <w:rPr>
          <w:rFonts w:ascii="Arial" w:hAnsi="Arial" w:cs="Arial"/>
          <w:sz w:val="18"/>
          <w:szCs w:val="18"/>
        </w:rPr>
        <w:t>Miburo</w:t>
      </w:r>
      <w:proofErr w:type="spellEnd"/>
      <w:r w:rsidRPr="00DD2EB1">
        <w:rPr>
          <w:rFonts w:ascii="Arial" w:hAnsi="Arial" w:cs="Arial"/>
          <w:sz w:val="18"/>
          <w:szCs w:val="18"/>
        </w:rPr>
        <w:t xml:space="preserve"> Solutions, a cyber threat analysis and research company specializing in the detection of and response to foreign information influence. This has enabled Microsoft to expand its threat detection and analysis capabilities to shed light on the ways in which foreign actors use information operations in conjunction with cyber-attacks to achieve their objectives.   </w:t>
      </w:r>
    </w:p>
    <w:p w14:paraId="79D19D43" w14:textId="77777777" w:rsidR="00E617E2" w:rsidRPr="00DD2EB1" w:rsidRDefault="00E617E2" w:rsidP="00E617E2">
      <w:pPr>
        <w:spacing w:before="80"/>
        <w:textAlignment w:val="baseline"/>
        <w:rPr>
          <w:rFonts w:ascii="Segoe UI" w:hAnsi="Segoe UI" w:cs="Segoe UI"/>
          <w:sz w:val="18"/>
          <w:szCs w:val="18"/>
        </w:rPr>
      </w:pPr>
      <w:r w:rsidRPr="00DD2EB1">
        <w:rPr>
          <w:rFonts w:ascii="Arial" w:hAnsi="Arial" w:cs="Arial"/>
          <w:sz w:val="18"/>
          <w:szCs w:val="18"/>
        </w:rPr>
        <w:t xml:space="preserve">At the product level, we recognize the power of generative AI and have taken numerous steps to address information integrity risks as part of our foundational commitment to Responsible AI (see further details at </w:t>
      </w:r>
      <w:hyperlink r:id="rId72" w:tgtFrame="_blank" w:history="1">
        <w:r w:rsidRPr="00DD2EB1">
          <w:rPr>
            <w:rFonts w:ascii="Arial" w:hAnsi="Arial" w:cs="Arial"/>
            <w:sz w:val="18"/>
            <w:szCs w:val="18"/>
            <w:u w:val="single"/>
          </w:rPr>
          <w:t>https://www.microsoft.com/en-us/ai/responsible-ai</w:t>
        </w:r>
      </w:hyperlink>
      <w:r w:rsidRPr="00DD2EB1">
        <w:rPr>
          <w:rFonts w:ascii="Arial" w:hAnsi="Arial" w:cs="Arial"/>
          <w:sz w:val="18"/>
          <w:szCs w:val="18"/>
        </w:rPr>
        <w:t>). On that website, there are product-specific public reports identifying disinformation and misinformation as potential risks and our efforts to address them, such as a detailed May 2023 white paper entitled “The New Bing: Our Approach to Responsible AI.”  Microsoft has also committed that our generative AI image creation services, Bing Image Creator and Microsoft Designer, will use content provenance technologies to cryptographically attach content credentials to an image or video that record basic facts identifying the AI system used to create the image or video content, and whether it has been altered since creation. We believe such steps are core to maintaining a healthy information ecosystem and mitigating the risks of misinformation and disinformation.  </w:t>
      </w:r>
    </w:p>
    <w:p w14:paraId="798B011B" w14:textId="77777777" w:rsidR="00E617E2" w:rsidRPr="00DD2EB1" w:rsidRDefault="00E617E2" w:rsidP="00E617E2">
      <w:pPr>
        <w:spacing w:before="120" w:after="80"/>
        <w:textAlignment w:val="baseline"/>
        <w:rPr>
          <w:rFonts w:ascii="Segoe UI" w:hAnsi="Segoe UI" w:cs="Segoe UI"/>
          <w:sz w:val="18"/>
          <w:szCs w:val="18"/>
        </w:rPr>
      </w:pPr>
      <w:r w:rsidRPr="00DD2EB1">
        <w:rPr>
          <w:rFonts w:ascii="Arial" w:hAnsi="Arial" w:cs="Arial"/>
          <w:b/>
          <w:bCs/>
          <w:sz w:val="18"/>
          <w:szCs w:val="18"/>
        </w:rPr>
        <w:t>Our existing and upcoming reports on our approach to mitigating the risk of misinformation and disinformation.</w:t>
      </w:r>
    </w:p>
    <w:p w14:paraId="64B66D0E" w14:textId="77777777" w:rsidR="00E617E2" w:rsidRPr="00DD2EB1" w:rsidRDefault="00E617E2" w:rsidP="00E617E2">
      <w:pPr>
        <w:textAlignment w:val="baseline"/>
        <w:rPr>
          <w:rFonts w:ascii="Segoe UI" w:hAnsi="Segoe UI" w:cs="Segoe UI"/>
          <w:sz w:val="18"/>
          <w:szCs w:val="18"/>
        </w:rPr>
      </w:pPr>
      <w:r w:rsidRPr="00DD2EB1">
        <w:rPr>
          <w:rFonts w:ascii="Arial" w:hAnsi="Arial" w:cs="Arial"/>
          <w:sz w:val="18"/>
          <w:szCs w:val="18"/>
        </w:rPr>
        <w:t xml:space="preserve">To demonstrate our commitment to transparency, we make available several public reports on our efforts to address misinformation and disinformation, such as the Microsoft Digital Defense Report available at </w:t>
      </w:r>
      <w:hyperlink r:id="rId73">
        <w:r w:rsidRPr="00DD2EB1">
          <w:rPr>
            <w:rFonts w:ascii="Arial" w:hAnsi="Arial" w:cs="Arial"/>
            <w:sz w:val="18"/>
            <w:szCs w:val="18"/>
            <w:u w:val="single"/>
          </w:rPr>
          <w:t>https://aka.ms/mddr</w:t>
        </w:r>
      </w:hyperlink>
      <w:r w:rsidRPr="00DD2EB1">
        <w:rPr>
          <w:rFonts w:ascii="Arial" w:hAnsi="Arial" w:cs="Arial"/>
          <w:sz w:val="18"/>
          <w:szCs w:val="18"/>
        </w:rPr>
        <w:t xml:space="preserve">. We also publicly report the steps we have taken to meet our obligations as a signatory to the European Code of Practice on Disinformation. Our most recent report, filed in September 2023, specifically covered disinformation risks related to generative AI and is publicly available at </w:t>
      </w:r>
      <w:hyperlink r:id="rId74">
        <w:r w:rsidRPr="00DD2EB1">
          <w:rPr>
            <w:rFonts w:ascii="Arial" w:hAnsi="Arial" w:cs="Arial"/>
            <w:sz w:val="18"/>
            <w:szCs w:val="18"/>
            <w:u w:val="single"/>
          </w:rPr>
          <w:t>https://disinfocode.eu/reports-archive/</w:t>
        </w:r>
      </w:hyperlink>
      <w:r w:rsidRPr="00DD2EB1">
        <w:rPr>
          <w:rFonts w:ascii="Arial" w:hAnsi="Arial" w:cs="Arial"/>
          <w:sz w:val="18"/>
          <w:szCs w:val="18"/>
        </w:rPr>
        <w:t xml:space="preserve">. (We filed similar reports under the Australian Code of Practice for Disinformation and Misinformation, the most recent version of which is available </w:t>
      </w:r>
      <w:hyperlink r:id="rId75">
        <w:r w:rsidRPr="00DD2EB1">
          <w:rPr>
            <w:rFonts w:ascii="Arial" w:hAnsi="Arial" w:cs="Arial"/>
            <w:sz w:val="18"/>
            <w:szCs w:val="18"/>
            <w:u w:val="single"/>
          </w:rPr>
          <w:t>https://news.microsoft.com/wp-content/uploads/prod/sites/66/2022/05/Microsoft-LinkedIn-Australian-Disinformation-Misinformation-Code-2023-report-FINAL-.pdf</w:t>
        </w:r>
      </w:hyperlink>
      <w:r w:rsidRPr="00DD2EB1">
        <w:rPr>
          <w:rFonts w:ascii="Arial" w:hAnsi="Arial" w:cs="Arial"/>
          <w:sz w:val="18"/>
          <w:szCs w:val="18"/>
        </w:rPr>
        <w:t>.) In July 2023, Microsoft committed to the United States Government that it would publish an annual transparency report on our AI governance practices that will include key information about our approach to mitigating the risks of misinformation and disinformation in Microsoft’s products and services, through our partnership with OpenAI, and through tools for the broader information ecosystem. Our first annual transparency report is scheduled for release before June 2024.   </w:t>
      </w:r>
    </w:p>
    <w:p w14:paraId="4582A2DA" w14:textId="77777777" w:rsidR="00E617E2" w:rsidRPr="00DD2EB1" w:rsidRDefault="00E617E2" w:rsidP="00E617E2">
      <w:pPr>
        <w:spacing w:before="120" w:after="80"/>
        <w:textAlignment w:val="baseline"/>
        <w:rPr>
          <w:rFonts w:ascii="Segoe UI" w:hAnsi="Segoe UI" w:cs="Segoe UI"/>
          <w:sz w:val="18"/>
          <w:szCs w:val="18"/>
        </w:rPr>
      </w:pPr>
      <w:r w:rsidRPr="00DD2EB1">
        <w:rPr>
          <w:rFonts w:ascii="Arial" w:hAnsi="Arial" w:cs="Arial"/>
          <w:b/>
          <w:bCs/>
          <w:sz w:val="18"/>
          <w:szCs w:val="18"/>
        </w:rPr>
        <w:t>Our investments in responsible AI staff.</w:t>
      </w:r>
    </w:p>
    <w:p w14:paraId="3FAE6D32" w14:textId="77777777" w:rsidR="00E617E2" w:rsidRPr="00DD2EB1" w:rsidRDefault="00E617E2" w:rsidP="00E617E2">
      <w:pPr>
        <w:textAlignment w:val="baseline"/>
        <w:rPr>
          <w:rFonts w:ascii="Segoe UI" w:hAnsi="Segoe UI" w:cs="Segoe UI"/>
          <w:sz w:val="18"/>
          <w:szCs w:val="18"/>
        </w:rPr>
      </w:pPr>
      <w:r w:rsidRPr="00DD2EB1">
        <w:rPr>
          <w:rFonts w:ascii="Arial" w:hAnsi="Arial" w:cs="Arial"/>
          <w:sz w:val="18"/>
          <w:szCs w:val="18"/>
        </w:rPr>
        <w:t>Finally, the references to the restructuring of Microsoft’s Ethics and Society team in this proposal may leave the impression that Microsoft has de-invested broadly in responsible AI, which is not the case. We have invested significantly in responsible AI over the years, with new engineering systems, research-led incubations, and, of course, people. As we’ve publicly shared in a May 2023 blog on our responsible AI progress (</w:t>
      </w:r>
      <w:hyperlink r:id="rId76" w:tgtFrame="_blank" w:history="1">
        <w:r w:rsidRPr="00DD2EB1">
          <w:rPr>
            <w:rFonts w:ascii="Arial" w:hAnsi="Arial" w:cs="Arial"/>
            <w:sz w:val="18"/>
            <w:szCs w:val="18"/>
            <w:u w:val="single"/>
          </w:rPr>
          <w:t>https://blogs.microsoft.com/on-the-issues/2023/05/01/responsible-ai-standards-principles-governance-progress/</w:t>
        </w:r>
      </w:hyperlink>
      <w:r w:rsidRPr="00DD2EB1">
        <w:rPr>
          <w:rFonts w:ascii="Arial" w:hAnsi="Arial" w:cs="Arial"/>
          <w:sz w:val="18"/>
          <w:szCs w:val="18"/>
        </w:rPr>
        <w:t>) we now have nearly 350 people working on responsible AI, with just over a third of those (129 to be precise) dedicated to it full time; the remainder have responsible AI responsibilities as a core part of their jobs. Our community members have positions in policy, engineering, research, sales, and other core functions, touching all aspects of our business. This number has grown since we started our responsible AI efforts in 2017 and in line with our growing focus on AI.  </w:t>
      </w:r>
    </w:p>
    <w:p w14:paraId="219FF580" w14:textId="77777777" w:rsidR="00E617E2" w:rsidRPr="00E617E2" w:rsidRDefault="00E617E2" w:rsidP="00E617E2">
      <w:pPr>
        <w:spacing w:before="80"/>
        <w:textAlignment w:val="baseline"/>
        <w:rPr>
          <w:rFonts w:ascii="Segoe UI" w:hAnsi="Segoe UI" w:cs="Segoe UI"/>
          <w:sz w:val="18"/>
          <w:szCs w:val="18"/>
        </w:rPr>
      </w:pPr>
      <w:r w:rsidRPr="00DD2EB1">
        <w:rPr>
          <w:rFonts w:ascii="Arial" w:hAnsi="Arial" w:cs="Arial"/>
          <w:sz w:val="18"/>
          <w:szCs w:val="18"/>
        </w:rPr>
        <w:t>Last year, we made two key changes to our responsible AI ecosystem: first, we made critical new investments in the team responsible for our Azure OpenAI Service, which includes cutting-edge technology like GPT-4; and second, we infused some of our user research and design teams with specialist expertise by moving former Ethics &amp; Society team members into those teams. Following those changes, we made the hard decision to wind down the remainder of the Ethics &amp; Society team, which affected seven people. No decision affecting our colleagues is easy, but it was one guided by our experience of the most effective organizational structures to ensure our responsible AI practices are adopted across the company. </w:t>
      </w:r>
    </w:p>
    <w:p w14:paraId="1099FD47" w14:textId="77777777" w:rsidR="00E617E2" w:rsidRPr="00E617E2" w:rsidRDefault="00E617E2" w:rsidP="00E617E2">
      <w:pPr>
        <w:spacing w:before="120"/>
        <w:rPr>
          <w:rFonts w:ascii="Arial" w:hAnsi="Arial" w:cs="Arial"/>
          <w:sz w:val="18"/>
          <w:szCs w:val="18"/>
        </w:rPr>
      </w:pPr>
    </w:p>
    <w:p w14:paraId="63AD546C" w14:textId="7E965518" w:rsidR="00D246A9" w:rsidRDefault="00D246A9">
      <w:pPr>
        <w:pStyle w:val="NormalWeb"/>
        <w:spacing w:before="240" w:beforeAutospacing="0" w:after="0" w:afterAutospacing="0"/>
        <w:rPr>
          <w:sz w:val="2"/>
          <w:szCs w:val="2"/>
        </w:rPr>
      </w:pPr>
    </w:p>
    <w:p w14:paraId="0B8CA7C0" w14:textId="77777777" w:rsidR="00D246A9" w:rsidRDefault="00D246A9">
      <w:pPr>
        <w:pStyle w:val="NormalWeb"/>
        <w:spacing w:before="0" w:beforeAutospacing="0" w:after="0" w:afterAutospacing="0"/>
        <w:rPr>
          <w:rFonts w:ascii="Arial" w:hAnsi="Arial" w:cs="Arial"/>
          <w:sz w:val="50"/>
          <w:szCs w:val="50"/>
        </w:rPr>
      </w:pPr>
      <w:r>
        <w:rPr>
          <w:rFonts w:ascii="Arial" w:hAnsi="Arial" w:cs="Arial"/>
          <w:b/>
          <w:bCs/>
          <w:sz w:val="50"/>
          <w:szCs w:val="50"/>
        </w:rPr>
        <w:lastRenderedPageBreak/>
        <w:t xml:space="preserve">5. Information About the Meeting </w:t>
      </w:r>
    </w:p>
    <w:p w14:paraId="2E0C3589" w14:textId="77777777" w:rsidR="00D246A9" w:rsidRDefault="00D246A9">
      <w:pPr>
        <w:pStyle w:val="NormalWeb"/>
        <w:keepNext/>
        <w:spacing w:before="0" w:beforeAutospacing="0" w:after="0" w:afterAutospacing="0"/>
      </w:pPr>
      <w:r>
        <w:t> </w:t>
      </w:r>
    </w:p>
    <w:p w14:paraId="256E98DF" w14:textId="77777777" w:rsidR="00D246A9" w:rsidRDefault="00D246A9">
      <w:pPr>
        <w:pStyle w:val="rrdsinglerule"/>
        <w:pBdr>
          <w:top w:val="single" w:sz="6" w:space="0" w:color="0075C9"/>
        </w:pBdr>
        <w:spacing w:before="240"/>
      </w:pPr>
      <w:r>
        <w:t> </w:t>
      </w:r>
    </w:p>
    <w:p w14:paraId="1EEB5D29" w14:textId="77777777" w:rsidR="00D246A9" w:rsidRDefault="00D246A9" w:rsidP="00B4165A">
      <w:pPr>
        <w:pStyle w:val="Heading3"/>
      </w:pPr>
      <w:bookmarkStart w:id="35" w:name="toc356108_36"/>
      <w:bookmarkEnd w:id="35"/>
      <w:r>
        <w:t xml:space="preserve">Date, Time, and Place of Meeting </w:t>
      </w:r>
    </w:p>
    <w:p w14:paraId="46619F9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color w:val="0075C9"/>
          <w:sz w:val="18"/>
          <w:szCs w:val="18"/>
        </w:rPr>
        <w:t xml:space="preserve">Date: </w:t>
      </w:r>
      <w:r>
        <w:rPr>
          <w:rFonts w:ascii="Arial" w:hAnsi="Arial" w:cs="Arial"/>
          <w:sz w:val="18"/>
          <w:szCs w:val="18"/>
        </w:rPr>
        <w:t xml:space="preserve">December 7, 2023 </w:t>
      </w:r>
    </w:p>
    <w:p w14:paraId="2A338E4A"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xml:space="preserve">Time: </w:t>
      </w:r>
      <w:r>
        <w:rPr>
          <w:rFonts w:ascii="Arial" w:hAnsi="Arial" w:cs="Arial"/>
          <w:sz w:val="18"/>
          <w:szCs w:val="18"/>
        </w:rPr>
        <w:t xml:space="preserve">8:30 a.m. Pacific Time </w:t>
      </w:r>
    </w:p>
    <w:p w14:paraId="16E67617"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xml:space="preserve">Virtual Meeting Location: </w:t>
      </w:r>
      <w:r>
        <w:rPr>
          <w:rFonts w:ascii="Arial" w:hAnsi="Arial" w:cs="Arial"/>
          <w:sz w:val="18"/>
          <w:szCs w:val="18"/>
          <w:u w:val="single"/>
        </w:rPr>
        <w:t>virtualshareholdermeeting.com/MSFT23</w:t>
      </w:r>
      <w:r>
        <w:rPr>
          <w:rFonts w:ascii="Arial" w:hAnsi="Arial" w:cs="Arial"/>
          <w:sz w:val="18"/>
          <w:szCs w:val="18"/>
        </w:rPr>
        <w:t xml:space="preserve"> </w:t>
      </w:r>
    </w:p>
    <w:p w14:paraId="224D159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Proxy Statement was first mailed to shareholders on or about October 24, 2023. It is furnished in connection with the solicitation of proxies by the Board of Directors of Microsoft Corporation to be voted during the Annual Meeting for the purposes set forth in the accompanying Notice of Annual Meeting. </w:t>
      </w:r>
    </w:p>
    <w:p w14:paraId="0242156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who execute proxies retain the right to revoke them at any time before the shares are voted by proxy during the meeting. A shareholder may revoke a proxy by timely executing and delivering, by Internet, telephone, or mail, another proxy dated as of a later date, or by delivering a signed statement to our Corporate Secretary at or prior to the Annual Meeting. </w:t>
      </w:r>
    </w:p>
    <w:p w14:paraId="3C3BD833" w14:textId="77777777" w:rsidR="00D246A9" w:rsidRDefault="00D246A9">
      <w:pPr>
        <w:pStyle w:val="NormalWeb"/>
        <w:keepNext/>
        <w:spacing w:before="0" w:beforeAutospacing="0" w:after="0" w:afterAutospacing="0"/>
        <w:rPr>
          <w:sz w:val="36"/>
          <w:szCs w:val="36"/>
        </w:rPr>
      </w:pPr>
      <w:r>
        <w:rPr>
          <w:sz w:val="36"/>
          <w:szCs w:val="36"/>
        </w:rPr>
        <w:t> </w:t>
      </w:r>
    </w:p>
    <w:p w14:paraId="5EE1F6D1" w14:textId="77777777" w:rsidR="00D246A9" w:rsidRDefault="00D246A9">
      <w:pPr>
        <w:pStyle w:val="rrdsinglerule"/>
        <w:pBdr>
          <w:top w:val="single" w:sz="6" w:space="0" w:color="0075C9"/>
        </w:pBdr>
        <w:spacing w:before="120"/>
        <w:rPr>
          <w:sz w:val="24"/>
          <w:szCs w:val="24"/>
        </w:rPr>
      </w:pPr>
      <w:r>
        <w:t> </w:t>
      </w:r>
    </w:p>
    <w:p w14:paraId="1DC69C0D" w14:textId="77777777" w:rsidR="00D246A9" w:rsidRDefault="00D246A9" w:rsidP="00B4165A">
      <w:pPr>
        <w:pStyle w:val="Heading3"/>
      </w:pPr>
      <w:bookmarkStart w:id="36" w:name="toc356108_37"/>
      <w:bookmarkEnd w:id="36"/>
      <w:r>
        <w:t xml:space="preserve">Proxy Materials are Available on the Internet </w:t>
      </w:r>
    </w:p>
    <w:p w14:paraId="675D565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are furnishing proxy materials to our shareholders primarily via the Internet instead of mailing printed copies of those materials to each shareholder. By doing so, we save costs and reduce the environmental impact of our Annual Meeting. On October 24, 2023, we mailed a Notice of Internet Availability of Proxy Materials to certain of our shareholders. The Notice contains instructions about how to access our proxy materials and vote online or by telephone. If you would like to receive a paper copy of our proxy materials, please follow the instructions included in the Notice of Internet Availability of Proxy Materials. If you previously chose to receive our proxy materials electronically, you will continue to receive access to these materials via email unless you elect otherwise. </w:t>
      </w:r>
    </w:p>
    <w:p w14:paraId="02C55917" w14:textId="77777777" w:rsidR="00D246A9" w:rsidRDefault="00D246A9">
      <w:pPr>
        <w:pStyle w:val="NormalWeb"/>
        <w:keepNext/>
        <w:spacing w:before="0" w:beforeAutospacing="0" w:after="0" w:afterAutospacing="0"/>
        <w:rPr>
          <w:sz w:val="36"/>
          <w:szCs w:val="36"/>
        </w:rPr>
      </w:pPr>
      <w:r>
        <w:rPr>
          <w:sz w:val="36"/>
          <w:szCs w:val="36"/>
        </w:rPr>
        <w:t> </w:t>
      </w:r>
    </w:p>
    <w:p w14:paraId="67F77DE7" w14:textId="77777777" w:rsidR="00D246A9" w:rsidRDefault="00D246A9">
      <w:pPr>
        <w:pStyle w:val="rrdsinglerule"/>
        <w:pBdr>
          <w:top w:val="single" w:sz="6" w:space="0" w:color="0075C9"/>
        </w:pBdr>
        <w:spacing w:before="120"/>
        <w:rPr>
          <w:sz w:val="24"/>
          <w:szCs w:val="24"/>
        </w:rPr>
      </w:pPr>
      <w:r>
        <w:t xml:space="preserve">  </w:t>
      </w:r>
    </w:p>
    <w:p w14:paraId="1CA5E9C1" w14:textId="77777777" w:rsidR="00D246A9" w:rsidRDefault="00D246A9" w:rsidP="00B4165A">
      <w:pPr>
        <w:pStyle w:val="Heading3"/>
      </w:pPr>
      <w:bookmarkStart w:id="37" w:name="toc356108_38"/>
      <w:bookmarkEnd w:id="37"/>
      <w:r>
        <w:t xml:space="preserve">Participating in the Annual Meeting </w:t>
      </w:r>
    </w:p>
    <w:p w14:paraId="24054BA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year’s Annual Meeting will be held in a virtual format through a live webcast. </w:t>
      </w:r>
    </w:p>
    <w:p w14:paraId="7A335A5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You are entitled to participate in the Annual Meeting if you were a shareholder as of the close of business on September 29, 2023, the record date, or hold a valid proxy for the meeting. To be admitted to the Annual Meeting at </w:t>
      </w:r>
      <w:r>
        <w:rPr>
          <w:rFonts w:ascii="Arial" w:hAnsi="Arial" w:cs="Arial"/>
          <w:sz w:val="18"/>
          <w:szCs w:val="18"/>
          <w:u w:val="single"/>
        </w:rPr>
        <w:t>virtualshareholdermeeting.com/MSFT23</w:t>
      </w:r>
      <w:r>
        <w:rPr>
          <w:rFonts w:ascii="Arial" w:hAnsi="Arial" w:cs="Arial"/>
          <w:sz w:val="18"/>
          <w:szCs w:val="18"/>
        </w:rPr>
        <w:t xml:space="preserve">, you must enter the 16-digit Control Number found next to the label “Control Number” on your Notice of Internet Availability, proxy card, or voting instruction form, or in the email sending you the Proxy Statement. If you are a beneficial shareholder, you may contact the bank, broker, or other institution where you hold your account if you have questions about obtaining your Control Number. </w:t>
      </w:r>
    </w:p>
    <w:p w14:paraId="1F1EC42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w:t>
      </w:r>
      <w:proofErr w:type="gramStart"/>
      <w:r>
        <w:rPr>
          <w:rFonts w:ascii="Arial" w:hAnsi="Arial" w:cs="Arial"/>
          <w:sz w:val="18"/>
          <w:szCs w:val="18"/>
        </w:rPr>
        <w:t>question and answer</w:t>
      </w:r>
      <w:proofErr w:type="gramEnd"/>
      <w:r>
        <w:rPr>
          <w:rFonts w:ascii="Arial" w:hAnsi="Arial" w:cs="Arial"/>
          <w:sz w:val="18"/>
          <w:szCs w:val="18"/>
        </w:rPr>
        <w:t xml:space="preserve"> session will include questions submitted in advance of, and questions submitted live </w:t>
      </w:r>
      <w:proofErr w:type="gramStart"/>
      <w:r>
        <w:rPr>
          <w:rFonts w:ascii="Arial" w:hAnsi="Arial" w:cs="Arial"/>
          <w:sz w:val="18"/>
          <w:szCs w:val="18"/>
        </w:rPr>
        <w:t>during,</w:t>
      </w:r>
      <w:proofErr w:type="gramEnd"/>
      <w:r>
        <w:rPr>
          <w:rFonts w:ascii="Arial" w:hAnsi="Arial" w:cs="Arial"/>
          <w:sz w:val="18"/>
          <w:szCs w:val="18"/>
        </w:rPr>
        <w:t xml:space="preserve"> the Annual Meeting. You may submit a question in advance of the meeting at </w:t>
      </w:r>
      <w:r>
        <w:rPr>
          <w:rFonts w:ascii="Arial" w:hAnsi="Arial" w:cs="Arial"/>
          <w:sz w:val="18"/>
          <w:szCs w:val="18"/>
          <w:u w:val="single"/>
        </w:rPr>
        <w:t>proxyvote.com</w:t>
      </w:r>
      <w:r>
        <w:rPr>
          <w:rFonts w:ascii="Arial" w:hAnsi="Arial" w:cs="Arial"/>
          <w:sz w:val="18"/>
          <w:szCs w:val="18"/>
        </w:rPr>
        <w:t xml:space="preserve"> after logging in with your Control Number. Questions may be submitted during the Annual Meeting through </w:t>
      </w:r>
      <w:r>
        <w:rPr>
          <w:rFonts w:ascii="Arial" w:hAnsi="Arial" w:cs="Arial"/>
          <w:sz w:val="18"/>
          <w:szCs w:val="18"/>
          <w:u w:val="single"/>
        </w:rPr>
        <w:t>virtualshareholdermeeting.com/MSFT23</w:t>
      </w:r>
      <w:r>
        <w:rPr>
          <w:rFonts w:ascii="Arial" w:hAnsi="Arial" w:cs="Arial"/>
          <w:sz w:val="18"/>
          <w:szCs w:val="18"/>
        </w:rPr>
        <w:t xml:space="preserve">. </w:t>
      </w:r>
    </w:p>
    <w:p w14:paraId="7A57FDA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encourage you to </w:t>
      </w:r>
      <w:proofErr w:type="gramStart"/>
      <w:r>
        <w:rPr>
          <w:rFonts w:ascii="Arial" w:hAnsi="Arial" w:cs="Arial"/>
          <w:sz w:val="18"/>
          <w:szCs w:val="18"/>
        </w:rPr>
        <w:t>access</w:t>
      </w:r>
      <w:proofErr w:type="gramEnd"/>
      <w:r>
        <w:rPr>
          <w:rFonts w:ascii="Arial" w:hAnsi="Arial" w:cs="Arial"/>
          <w:sz w:val="18"/>
          <w:szCs w:val="18"/>
        </w:rPr>
        <w:t xml:space="preserve"> the Annual Meeting before it begins. Online check-in will start approximately thirty minutes before the meeting on December 7, 2023. If you have difficulty </w:t>
      </w:r>
      <w:proofErr w:type="gramStart"/>
      <w:r>
        <w:rPr>
          <w:rFonts w:ascii="Arial" w:hAnsi="Arial" w:cs="Arial"/>
          <w:sz w:val="18"/>
          <w:szCs w:val="18"/>
        </w:rPr>
        <w:t>accessing</w:t>
      </w:r>
      <w:proofErr w:type="gramEnd"/>
      <w:r>
        <w:rPr>
          <w:rFonts w:ascii="Arial" w:hAnsi="Arial" w:cs="Arial"/>
          <w:sz w:val="18"/>
          <w:szCs w:val="18"/>
        </w:rPr>
        <w:t xml:space="preserve"> the meeting, please call 1-844-986-0822 (toll free) or 303-562-9302 (international). We will have technicians available to assist you. </w:t>
      </w:r>
    </w:p>
    <w:p w14:paraId="1CAC038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will also make the Annual Meeting </w:t>
      </w:r>
      <w:proofErr w:type="gramStart"/>
      <w:r>
        <w:rPr>
          <w:rFonts w:ascii="Arial" w:hAnsi="Arial" w:cs="Arial"/>
          <w:sz w:val="18"/>
          <w:szCs w:val="18"/>
        </w:rPr>
        <w:t>viewable</w:t>
      </w:r>
      <w:proofErr w:type="gramEnd"/>
      <w:r>
        <w:rPr>
          <w:rFonts w:ascii="Arial" w:hAnsi="Arial" w:cs="Arial"/>
          <w:sz w:val="18"/>
          <w:szCs w:val="18"/>
        </w:rPr>
        <w:t xml:space="preserve"> to anyone interested in a Microsoft Teams broadcast at </w:t>
      </w:r>
      <w:r>
        <w:rPr>
          <w:rFonts w:ascii="Arial" w:hAnsi="Arial" w:cs="Arial"/>
          <w:sz w:val="18"/>
          <w:szCs w:val="18"/>
          <w:u w:val="single"/>
        </w:rPr>
        <w:t>microsoft.com/investor</w:t>
      </w:r>
      <w:r>
        <w:rPr>
          <w:rFonts w:ascii="Arial" w:hAnsi="Arial" w:cs="Arial"/>
          <w:sz w:val="18"/>
          <w:szCs w:val="18"/>
        </w:rPr>
        <w:t xml:space="preserve">. If you view the meeting via the Microsoft Teams broadcast, you will be able to watch the Annual Meeting but will not be able to vote your shares or ask questions through Microsoft Teams. </w:t>
      </w:r>
    </w:p>
    <w:p w14:paraId="0E10540C" w14:textId="77777777" w:rsidR="00D246A9" w:rsidRDefault="00D246A9">
      <w:pPr>
        <w:pStyle w:val="NormalWeb"/>
        <w:keepNext/>
        <w:spacing w:before="0" w:beforeAutospacing="0" w:after="0" w:afterAutospacing="0"/>
        <w:rPr>
          <w:sz w:val="36"/>
          <w:szCs w:val="36"/>
        </w:rPr>
      </w:pPr>
      <w:r>
        <w:rPr>
          <w:sz w:val="36"/>
          <w:szCs w:val="36"/>
        </w:rPr>
        <w:t> </w:t>
      </w:r>
    </w:p>
    <w:p w14:paraId="23750975" w14:textId="77777777" w:rsidR="00D246A9" w:rsidRDefault="00D246A9">
      <w:pPr>
        <w:pStyle w:val="rrdsinglerule"/>
        <w:pBdr>
          <w:top w:val="single" w:sz="6" w:space="0" w:color="0075C9"/>
        </w:pBdr>
        <w:spacing w:before="120"/>
        <w:rPr>
          <w:sz w:val="24"/>
          <w:szCs w:val="24"/>
        </w:rPr>
      </w:pPr>
      <w:r>
        <w:t> </w:t>
      </w:r>
    </w:p>
    <w:p w14:paraId="5BF890B7" w14:textId="77777777" w:rsidR="00D246A9" w:rsidRDefault="00D246A9" w:rsidP="00B4165A">
      <w:pPr>
        <w:pStyle w:val="Heading3"/>
      </w:pPr>
      <w:bookmarkStart w:id="38" w:name="toc356108_39"/>
      <w:bookmarkEnd w:id="38"/>
      <w:r>
        <w:t xml:space="preserve">Soliciting Proxies </w:t>
      </w:r>
    </w:p>
    <w:p w14:paraId="1B32FDFD" w14:textId="717A9502" w:rsidR="00D246A9" w:rsidRDefault="00D246A9" w:rsidP="007D1AD1">
      <w:pPr>
        <w:pStyle w:val="NormalWeb"/>
        <w:spacing w:before="120" w:beforeAutospacing="0" w:after="0" w:afterAutospacing="0"/>
        <w:rPr>
          <w:sz w:val="2"/>
          <w:szCs w:val="2"/>
        </w:rPr>
      </w:pPr>
      <w:r>
        <w:rPr>
          <w:rFonts w:ascii="Arial" w:hAnsi="Arial" w:cs="Arial"/>
          <w:sz w:val="18"/>
          <w:szCs w:val="18"/>
        </w:rPr>
        <w:t xml:space="preserve">The Board of Directors is soliciting the proxy accompanying this Proxy Statement. Proxies may be solicited by officers, directors, and employees of Microsoft, none of whom will receive any additional compensation for their services. D.F. King &amp; Co., Inc. may solicit proxies at a cost we anticipate will not exceed $20,000. These solicitations may be made personally or by mail, telephone, messenger, email, or other electronic transmission. Microsoft will pay </w:t>
      </w:r>
      <w:proofErr w:type="gramStart"/>
      <w:r>
        <w:rPr>
          <w:rFonts w:ascii="Arial" w:hAnsi="Arial" w:cs="Arial"/>
          <w:sz w:val="18"/>
          <w:szCs w:val="18"/>
        </w:rPr>
        <w:t>persons</w:t>
      </w:r>
      <w:proofErr w:type="gramEnd"/>
      <w:r>
        <w:rPr>
          <w:rFonts w:ascii="Arial" w:hAnsi="Arial" w:cs="Arial"/>
          <w:sz w:val="18"/>
          <w:szCs w:val="18"/>
        </w:rPr>
        <w:t xml:space="preserve"> holding shares of common stock in their names or in the names of nominees, but not owning such shares beneficially, such as brokerage houses, banks, and other fiduciaries, for the expense of forwarding solicitation materials to their principals. Microsoft will pay all proxy solicitation costs. </w:t>
      </w:r>
      <w:r>
        <w:rPr>
          <w:sz w:val="2"/>
          <w:szCs w:val="2"/>
        </w:rPr>
        <w:t> </w:t>
      </w:r>
    </w:p>
    <w:p w14:paraId="0E46A316" w14:textId="77777777" w:rsidR="00D246A9" w:rsidRDefault="00D246A9" w:rsidP="00C74F49">
      <w:pPr>
        <w:pStyle w:val="rrdsinglerule"/>
        <w:pageBreakBefore/>
        <w:pBdr>
          <w:top w:val="single" w:sz="6" w:space="0" w:color="0075C9"/>
        </w:pBdr>
        <w:spacing w:before="0"/>
        <w:rPr>
          <w:sz w:val="24"/>
          <w:szCs w:val="24"/>
        </w:rPr>
      </w:pPr>
      <w:r>
        <w:lastRenderedPageBreak/>
        <w:t> </w:t>
      </w:r>
    </w:p>
    <w:p w14:paraId="46EB441B" w14:textId="77777777" w:rsidR="00D246A9" w:rsidRDefault="00D246A9" w:rsidP="00B4165A">
      <w:pPr>
        <w:pStyle w:val="Heading3"/>
      </w:pPr>
      <w:bookmarkStart w:id="39" w:name="toc356108_40"/>
      <w:bookmarkEnd w:id="39"/>
      <w:r>
        <w:t xml:space="preserve">Householding </w:t>
      </w:r>
    </w:p>
    <w:p w14:paraId="4AA093B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deliver a single Proxy Statement and Annual Report, along with individual proxy cards or individual Notices of Internet Availability, to certain shareholders sharing the same address unless we have received contrary instructions. If you are a registered shareholder and would like to either participate in householding or receive separate copies of this year’s and/or future proxy materials, please contact our transfer agent, Computershare, by mail at P.O. Box 43006, Providence, RI, 02940-3078; by phone at 800-285-7772, option 1; or by email at </w:t>
      </w:r>
      <w:r>
        <w:rPr>
          <w:rFonts w:ascii="Arial" w:hAnsi="Arial" w:cs="Arial"/>
          <w:sz w:val="18"/>
          <w:szCs w:val="18"/>
          <w:u w:val="single"/>
        </w:rPr>
        <w:t>web.queries@computershare.com</w:t>
      </w:r>
      <w:r>
        <w:rPr>
          <w:rFonts w:ascii="Arial" w:hAnsi="Arial" w:cs="Arial"/>
          <w:sz w:val="18"/>
          <w:szCs w:val="18"/>
        </w:rPr>
        <w:t xml:space="preserve">. If you are a beneficial shareholder, you may contact the broker or bank where you hold the account. </w:t>
      </w:r>
    </w:p>
    <w:p w14:paraId="0D503132" w14:textId="77777777" w:rsidR="00D246A9" w:rsidRDefault="00D246A9">
      <w:pPr>
        <w:pStyle w:val="NormalWeb"/>
        <w:keepNext/>
        <w:spacing w:before="0" w:beforeAutospacing="0" w:after="0" w:afterAutospacing="0"/>
        <w:rPr>
          <w:sz w:val="36"/>
          <w:szCs w:val="36"/>
        </w:rPr>
      </w:pPr>
      <w:r>
        <w:rPr>
          <w:sz w:val="36"/>
          <w:szCs w:val="36"/>
        </w:rPr>
        <w:t> </w:t>
      </w:r>
    </w:p>
    <w:p w14:paraId="587C10D9" w14:textId="77777777" w:rsidR="00D246A9" w:rsidRDefault="00D246A9">
      <w:pPr>
        <w:pStyle w:val="rrdsinglerule"/>
        <w:pBdr>
          <w:top w:val="single" w:sz="6" w:space="0" w:color="0075C9"/>
        </w:pBdr>
        <w:spacing w:before="120"/>
        <w:rPr>
          <w:sz w:val="24"/>
          <w:szCs w:val="24"/>
        </w:rPr>
      </w:pPr>
      <w:r>
        <w:t> </w:t>
      </w:r>
    </w:p>
    <w:p w14:paraId="2A9F2BD3" w14:textId="77777777" w:rsidR="00D246A9" w:rsidRDefault="00D246A9" w:rsidP="00B4165A">
      <w:pPr>
        <w:pStyle w:val="Heading3"/>
      </w:pPr>
      <w:bookmarkStart w:id="40" w:name="toc356108_41"/>
      <w:bookmarkEnd w:id="40"/>
      <w:r>
        <w:t xml:space="preserve">Election of Directors </w:t>
      </w:r>
    </w:p>
    <w:p w14:paraId="3761131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Twelve directors are to be elected during the Annual Meeting to hold office until the next annual meeting and until their respective successors are elected and qualified. If, for any reason, no directors are elected at an annual meeting, a slate of directors may be elected at a special meeting of shareholders called for that purpose in the manner provided by our Bylaws. The accompanying proxy will be voted in favor of the nominees presented in Part 1 – Governance and our Board of Directors to serve as directors unless the shareholder indicates to the contrary on the proxy. All of this year’s nominees are current directors, except Ms. MacGregor and Mr. Mason. The Board expects that each of the nominees will be available for election, but if any of them is unable to serve at the time the election occurs, the proxy will be voted for the election of another </w:t>
      </w:r>
      <w:proofErr w:type="gramStart"/>
      <w:r>
        <w:rPr>
          <w:rFonts w:ascii="Arial" w:hAnsi="Arial" w:cs="Arial"/>
          <w:sz w:val="18"/>
          <w:szCs w:val="18"/>
        </w:rPr>
        <w:t>nominee</w:t>
      </w:r>
      <w:proofErr w:type="gramEnd"/>
      <w:r>
        <w:rPr>
          <w:rFonts w:ascii="Arial" w:hAnsi="Arial" w:cs="Arial"/>
          <w:sz w:val="18"/>
          <w:szCs w:val="18"/>
        </w:rPr>
        <w:t xml:space="preserve"> designated by our Board. A nominee who does not receive a majority of the votes cast will not be elected. Except as explained in the next paragraph, an incumbent director who is not elected because he or she does not receive a majority vote will continue to serve as a holdover director until the earliest of: (a) 90 days after the date on which the election inspector determines the voting results as to that director, (b) the date on which the Board of Directors appoints an individual to fill the office held by that director, or (c) the date of that director’s resignation. </w:t>
      </w:r>
    </w:p>
    <w:p w14:paraId="2225761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may fill any vacancy resulting from the non-election of a director, or fill the office held by a holdover director, as provided in our Bylaws. The Governance and Nominating Committee will consider promptly whether to fill the office of a nominee who fails to receive a majority vote and make a recommendation to our Board about filling the office. </w:t>
      </w:r>
    </w:p>
    <w:p w14:paraId="122F9D4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will act on the Governance and Nominating Committee’s recommendation and within 90 days after certification of the shareholder vote will disclose publicly its decision. </w:t>
      </w:r>
    </w:p>
    <w:p w14:paraId="47B0A51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Additional details about this process are specified in our Bylaws, which are available on our website at </w:t>
      </w:r>
      <w:r>
        <w:rPr>
          <w:rFonts w:ascii="Arial" w:hAnsi="Arial" w:cs="Arial"/>
          <w:sz w:val="18"/>
          <w:szCs w:val="18"/>
          <w:u w:val="single"/>
        </w:rPr>
        <w:t>aka.ms/policiesandguidelines.</w:t>
      </w:r>
      <w:r>
        <w:rPr>
          <w:rFonts w:ascii="Arial" w:hAnsi="Arial" w:cs="Arial"/>
          <w:sz w:val="18"/>
          <w:szCs w:val="18"/>
        </w:rPr>
        <w:t xml:space="preserve"> </w:t>
      </w:r>
    </w:p>
    <w:p w14:paraId="5EBA8BCB" w14:textId="77777777" w:rsidR="00D246A9" w:rsidRDefault="00D246A9">
      <w:pPr>
        <w:pStyle w:val="NormalWeb"/>
        <w:keepNext/>
        <w:spacing w:before="0" w:beforeAutospacing="0" w:after="0" w:afterAutospacing="0"/>
        <w:rPr>
          <w:sz w:val="36"/>
          <w:szCs w:val="36"/>
        </w:rPr>
      </w:pPr>
      <w:r>
        <w:rPr>
          <w:sz w:val="36"/>
          <w:szCs w:val="36"/>
        </w:rPr>
        <w:t> </w:t>
      </w:r>
    </w:p>
    <w:p w14:paraId="3591D12D" w14:textId="77777777" w:rsidR="00D246A9" w:rsidRDefault="00D246A9">
      <w:pPr>
        <w:pStyle w:val="rrdsinglerule"/>
        <w:pBdr>
          <w:top w:val="single" w:sz="6" w:space="0" w:color="0075C9"/>
        </w:pBdr>
        <w:spacing w:before="120"/>
        <w:rPr>
          <w:sz w:val="24"/>
          <w:szCs w:val="24"/>
        </w:rPr>
      </w:pPr>
      <w:r>
        <w:t xml:space="preserve">  </w:t>
      </w:r>
    </w:p>
    <w:p w14:paraId="36126A70" w14:textId="77777777" w:rsidR="00D246A9" w:rsidRDefault="00D246A9" w:rsidP="00B4165A">
      <w:pPr>
        <w:pStyle w:val="Heading3"/>
      </w:pPr>
      <w:bookmarkStart w:id="41" w:name="toc356108_42"/>
      <w:bookmarkEnd w:id="41"/>
      <w:r>
        <w:t xml:space="preserve">Voting </w:t>
      </w:r>
    </w:p>
    <w:p w14:paraId="7B8A2246" w14:textId="77777777" w:rsidR="00D246A9" w:rsidRDefault="00D246A9" w:rsidP="007D1AD1">
      <w:pPr>
        <w:pStyle w:val="Heading4"/>
      </w:pPr>
      <w:bookmarkStart w:id="42" w:name="toc356108_43"/>
      <w:bookmarkEnd w:id="42"/>
      <w:r>
        <w:t xml:space="preserve">Shareholders Entitled to </w:t>
      </w:r>
      <w:proofErr w:type="gramStart"/>
      <w:r>
        <w:t>Vote;</w:t>
      </w:r>
      <w:proofErr w:type="gramEnd"/>
      <w:r>
        <w:t xml:space="preserve"> Quorum </w:t>
      </w:r>
    </w:p>
    <w:p w14:paraId="7D51E49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of record at the close of business on September 29, 2023, will be entitled to vote during the Annual Meeting on the basis of one vote for each share held. Shareholders as of the record date are encouraged to vote prior to the meeting (1) via the Internet, (2) by phone, or (3) if you received your proxy materials by mail, by signing, dating, and returning the enclosed proxy card or voting instruction form. On September 29, 2023, there were 7,429,030,596 shares of common stock outstanding, held of record by 83,323 shareholders. </w:t>
      </w:r>
    </w:p>
    <w:p w14:paraId="49BB7D2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 majority of the outstanding shares of Microsoft common stock is required to constitute a quorum for the transaction of business at the Annual Meeting. The shares of a shareholder whose ballot on any or all proposals is marked as “abstain” or, in the case of an uncontested election of directors, “withheld,” will be included in the number of shares present during the Annual Meeting to determine whether a quorum is present. </w:t>
      </w:r>
    </w:p>
    <w:p w14:paraId="2841C3DB" w14:textId="77777777" w:rsidR="007D1AD1" w:rsidRDefault="007D1AD1">
      <w:pPr>
        <w:rPr>
          <w:rFonts w:ascii="Arial" w:hAnsi="Arial" w:cs="Arial"/>
          <w:b/>
          <w:bCs/>
          <w:szCs w:val="24"/>
        </w:rPr>
      </w:pPr>
      <w:bookmarkStart w:id="43" w:name="toc356108_44"/>
      <w:bookmarkEnd w:id="43"/>
      <w:r>
        <w:br w:type="page"/>
      </w:r>
    </w:p>
    <w:p w14:paraId="38BD043B" w14:textId="11B001CD" w:rsidR="00D246A9" w:rsidRDefault="00D246A9" w:rsidP="007D1AD1">
      <w:pPr>
        <w:pStyle w:val="Heading4"/>
      </w:pPr>
      <w:r>
        <w:lastRenderedPageBreak/>
        <w:t xml:space="preserve">Vote </w:t>
      </w:r>
      <w:proofErr w:type="gramStart"/>
      <w:r>
        <w:t>Required;</w:t>
      </w:r>
      <w:proofErr w:type="gramEnd"/>
      <w:r>
        <w:t xml:space="preserve"> Effect of Abstentions and Broker Non-Votes </w:t>
      </w:r>
    </w:p>
    <w:p w14:paraId="465814B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For each nominee and proposal submitted to the shareholders for a vote, approval requires a vote of the majority of the votes cast. A majority of votes cast means the number of shares cast “for” a nominee or proposal exceeds the number of shares cast “against” that nominee or proposal. Abstentions will not be counted as votes cast. Uninstructed shares will not be counted as votes cast except with respect to the Ratification of the Selection of our Independent Auditor, for which brokers and custodians have discretion to vote. A ballot for a nominee that is marked “withheld” will also not be counted as a vote cast. </w:t>
      </w:r>
    </w:p>
    <w:p w14:paraId="3C1F7CAF" w14:textId="77777777" w:rsidR="00D246A9" w:rsidRDefault="00D246A9">
      <w:pPr>
        <w:pStyle w:val="NormalWeb"/>
        <w:spacing w:before="90" w:beforeAutospacing="0" w:after="0" w:afterAutospacing="0"/>
        <w:rPr>
          <w:sz w:val="2"/>
          <w:szCs w:val="2"/>
        </w:rPr>
      </w:pPr>
      <w:r>
        <w:rPr>
          <w:sz w:val="2"/>
          <w:szCs w:val="2"/>
        </w:rPr>
        <w:t> </w:t>
      </w:r>
    </w:p>
    <w:p w14:paraId="1EFF1500"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The following table summarizes the votes required for passage of each proposal and the effect of abstentions and uninstructed shares held by brokers. </w:t>
      </w:r>
    </w:p>
    <w:p w14:paraId="3AD56928"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5717"/>
        <w:gridCol w:w="2118"/>
        <w:gridCol w:w="1345"/>
        <w:gridCol w:w="1620"/>
      </w:tblGrid>
      <w:tr w:rsidR="00584D81" w14:paraId="4D5A8BFB" w14:textId="77777777" w:rsidTr="00584D81">
        <w:trPr>
          <w:cantSplit/>
          <w:tblHeader/>
          <w:jc w:val="center"/>
        </w:trPr>
        <w:tc>
          <w:tcPr>
            <w:tcW w:w="7835" w:type="dxa"/>
            <w:gridSpan w:val="2"/>
            <w:tcBorders>
              <w:bottom w:val="single" w:sz="8" w:space="0" w:color="000000"/>
            </w:tcBorders>
            <w:vAlign w:val="bottom"/>
            <w:hideMark/>
          </w:tcPr>
          <w:p w14:paraId="36683044" w14:textId="77777777" w:rsidR="00584D81" w:rsidRPr="00306F7C" w:rsidRDefault="00584D81" w:rsidP="00584D81">
            <w:pPr>
              <w:pStyle w:val="NormalWeb"/>
              <w:spacing w:before="0" w:beforeAutospacing="0" w:after="0" w:afterAutospacing="0"/>
              <w:ind w:left="5760"/>
              <w:rPr>
                <w:rFonts w:ascii="Arial" w:hAnsi="Arial" w:cs="Arial"/>
                <w:sz w:val="18"/>
                <w:szCs w:val="18"/>
              </w:rPr>
            </w:pPr>
            <w:r>
              <w:rPr>
                <w:rFonts w:ascii="Arial" w:hAnsi="Arial" w:cs="Arial"/>
                <w:b/>
                <w:bCs/>
                <w:sz w:val="18"/>
                <w:szCs w:val="18"/>
              </w:rPr>
              <w:t>Votes Required</w:t>
            </w:r>
          </w:p>
          <w:p w14:paraId="56107539" w14:textId="77777777" w:rsidR="00584D81" w:rsidRDefault="00584D81" w:rsidP="00584D81">
            <w:pPr>
              <w:pStyle w:val="NormalWeb"/>
              <w:spacing w:before="0" w:beforeAutospacing="0" w:after="20" w:afterAutospacing="0"/>
              <w:ind w:left="5760"/>
              <w:rPr>
                <w:rFonts w:ascii="Arial" w:hAnsi="Arial" w:cs="Arial"/>
                <w:sz w:val="18"/>
                <w:szCs w:val="18"/>
              </w:rPr>
            </w:pPr>
            <w:r>
              <w:rPr>
                <w:rFonts w:ascii="Arial" w:hAnsi="Arial" w:cs="Arial"/>
                <w:b/>
                <w:bCs/>
                <w:sz w:val="18"/>
                <w:szCs w:val="18"/>
              </w:rPr>
              <w:t>for Approval</w:t>
            </w:r>
          </w:p>
        </w:tc>
        <w:tc>
          <w:tcPr>
            <w:tcW w:w="1345" w:type="dxa"/>
            <w:tcBorders>
              <w:bottom w:val="single" w:sz="8" w:space="0" w:color="000000"/>
            </w:tcBorders>
            <w:tcMar>
              <w:top w:w="0" w:type="dxa"/>
              <w:left w:w="144" w:type="dxa"/>
              <w:bottom w:w="0" w:type="dxa"/>
              <w:right w:w="0" w:type="dxa"/>
            </w:tcMar>
            <w:vAlign w:val="bottom"/>
            <w:hideMark/>
          </w:tcPr>
          <w:p w14:paraId="506DE159" w14:textId="77777777" w:rsidR="00584D81" w:rsidRDefault="00584D81" w:rsidP="00584D81">
            <w:pPr>
              <w:ind w:left="-147"/>
              <w:rPr>
                <w:rFonts w:ascii="Arial" w:hAnsi="Arial" w:cs="Arial"/>
                <w:sz w:val="18"/>
                <w:szCs w:val="18"/>
              </w:rPr>
            </w:pPr>
            <w:r>
              <w:rPr>
                <w:rFonts w:ascii="Arial" w:hAnsi="Arial" w:cs="Arial"/>
                <w:b/>
                <w:bCs/>
                <w:sz w:val="18"/>
                <w:szCs w:val="18"/>
              </w:rPr>
              <w:t>Abstentions</w:t>
            </w:r>
          </w:p>
        </w:tc>
        <w:tc>
          <w:tcPr>
            <w:tcW w:w="1620" w:type="dxa"/>
            <w:tcBorders>
              <w:bottom w:val="single" w:sz="8" w:space="0" w:color="000000"/>
            </w:tcBorders>
            <w:tcMar>
              <w:top w:w="0" w:type="dxa"/>
              <w:left w:w="144" w:type="dxa"/>
              <w:bottom w:w="0" w:type="dxa"/>
              <w:right w:w="0" w:type="dxa"/>
            </w:tcMar>
            <w:vAlign w:val="bottom"/>
            <w:hideMark/>
          </w:tcPr>
          <w:p w14:paraId="226B04C7" w14:textId="77777777" w:rsidR="00584D81" w:rsidRPr="00306F7C" w:rsidRDefault="00584D81" w:rsidP="00584D81">
            <w:pPr>
              <w:pStyle w:val="NormalWeb"/>
              <w:spacing w:before="0" w:beforeAutospacing="0" w:after="0" w:afterAutospacing="0"/>
              <w:ind w:left="-148"/>
              <w:rPr>
                <w:rFonts w:ascii="Arial" w:hAnsi="Arial" w:cs="Arial"/>
                <w:sz w:val="18"/>
                <w:szCs w:val="18"/>
              </w:rPr>
            </w:pPr>
            <w:r>
              <w:rPr>
                <w:rFonts w:ascii="Arial" w:hAnsi="Arial" w:cs="Arial"/>
                <w:b/>
                <w:bCs/>
                <w:sz w:val="18"/>
                <w:szCs w:val="18"/>
              </w:rPr>
              <w:t>Uninstructed</w:t>
            </w:r>
          </w:p>
          <w:p w14:paraId="7EA2F9EA" w14:textId="77777777" w:rsidR="00584D81" w:rsidRDefault="00584D81" w:rsidP="00584D81">
            <w:pPr>
              <w:pStyle w:val="NormalWeb"/>
              <w:spacing w:before="0" w:beforeAutospacing="0" w:after="20" w:afterAutospacing="0"/>
              <w:ind w:left="-148"/>
              <w:rPr>
                <w:rFonts w:ascii="Arial" w:hAnsi="Arial" w:cs="Arial"/>
                <w:sz w:val="18"/>
                <w:szCs w:val="18"/>
              </w:rPr>
            </w:pPr>
            <w:r>
              <w:rPr>
                <w:rFonts w:ascii="Arial" w:hAnsi="Arial" w:cs="Arial"/>
                <w:b/>
                <w:bCs/>
                <w:sz w:val="18"/>
                <w:szCs w:val="18"/>
              </w:rPr>
              <w:t>Shares</w:t>
            </w:r>
          </w:p>
        </w:tc>
      </w:tr>
      <w:tr w:rsidR="00D246A9" w14:paraId="235C6233" w14:textId="77777777" w:rsidTr="00FE0A0A">
        <w:trPr>
          <w:cantSplit/>
          <w:jc w:val="center"/>
        </w:trPr>
        <w:tc>
          <w:tcPr>
            <w:tcW w:w="10800" w:type="dxa"/>
            <w:gridSpan w:val="4"/>
            <w:tcBorders>
              <w:bottom w:val="single" w:sz="6" w:space="0" w:color="595959"/>
            </w:tcBorders>
            <w:tcMar>
              <w:top w:w="0" w:type="dxa"/>
              <w:left w:w="0" w:type="dxa"/>
              <w:bottom w:w="40" w:type="dxa"/>
              <w:right w:w="0" w:type="dxa"/>
            </w:tcMar>
            <w:hideMark/>
          </w:tcPr>
          <w:p w14:paraId="36422A45" w14:textId="77777777" w:rsidR="00D246A9" w:rsidRPr="00306F7C" w:rsidRDefault="00D246A9">
            <w:pPr>
              <w:pStyle w:val="NormalWeb"/>
              <w:keepNext/>
              <w:spacing w:before="0" w:beforeAutospacing="0" w:after="0" w:afterAutospacing="0" w:line="280" w:lineRule="atLeast"/>
              <w:ind w:left="346" w:hanging="240"/>
              <w:rPr>
                <w:rFonts w:ascii="Arial" w:hAnsi="Arial" w:cs="Arial"/>
                <w:sz w:val="18"/>
                <w:szCs w:val="18"/>
              </w:rPr>
            </w:pPr>
            <w:r>
              <w:rPr>
                <w:rFonts w:ascii="Arial" w:hAnsi="Arial" w:cs="Arial"/>
                <w:b/>
                <w:bCs/>
                <w:sz w:val="18"/>
                <w:szCs w:val="18"/>
              </w:rPr>
              <w:t>Management Proposals</w:t>
            </w:r>
          </w:p>
        </w:tc>
      </w:tr>
      <w:tr w:rsidR="00D246A9" w14:paraId="6EF06DA6" w14:textId="77777777" w:rsidTr="00584D81">
        <w:trPr>
          <w:cantSplit/>
          <w:jc w:val="center"/>
        </w:trPr>
        <w:tc>
          <w:tcPr>
            <w:tcW w:w="5717" w:type="dxa"/>
            <w:tcBorders>
              <w:bottom w:val="single" w:sz="6" w:space="0" w:color="0075C9"/>
            </w:tcBorders>
            <w:hideMark/>
          </w:tcPr>
          <w:p w14:paraId="2A2FFCCB" w14:textId="77777777" w:rsidR="00D246A9" w:rsidRDefault="00D246A9">
            <w:pPr>
              <w:pStyle w:val="NormalWeb"/>
              <w:keepNext/>
              <w:spacing w:before="0" w:beforeAutospacing="0" w:after="0" w:afterAutospacing="0" w:line="280" w:lineRule="atLeast"/>
              <w:ind w:left="826" w:hanging="240"/>
              <w:rPr>
                <w:rFonts w:ascii="Arial" w:hAnsi="Arial" w:cs="Arial"/>
                <w:sz w:val="18"/>
                <w:szCs w:val="18"/>
              </w:rPr>
            </w:pPr>
            <w:r>
              <w:rPr>
                <w:rFonts w:ascii="Arial" w:hAnsi="Arial" w:cs="Arial"/>
                <w:sz w:val="18"/>
                <w:szCs w:val="18"/>
              </w:rPr>
              <w:t>Election of 12 Directors</w:t>
            </w:r>
          </w:p>
        </w:tc>
        <w:tc>
          <w:tcPr>
            <w:tcW w:w="2118" w:type="dxa"/>
            <w:tcBorders>
              <w:bottom w:val="single" w:sz="6" w:space="0" w:color="0075C9"/>
            </w:tcBorders>
            <w:vAlign w:val="bottom"/>
            <w:hideMark/>
          </w:tcPr>
          <w:p w14:paraId="0E01CF6A"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345" w:type="dxa"/>
            <w:tcBorders>
              <w:bottom w:val="single" w:sz="6" w:space="0" w:color="0075C9"/>
            </w:tcBorders>
            <w:vAlign w:val="bottom"/>
            <w:hideMark/>
          </w:tcPr>
          <w:p w14:paraId="767EDCE9"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620" w:type="dxa"/>
            <w:tcBorders>
              <w:bottom w:val="single" w:sz="6" w:space="0" w:color="0075C9"/>
            </w:tcBorders>
            <w:vAlign w:val="bottom"/>
            <w:hideMark/>
          </w:tcPr>
          <w:p w14:paraId="7BEDDAD1"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D246A9" w14:paraId="286BAAF4" w14:textId="77777777" w:rsidTr="00584D81">
        <w:trPr>
          <w:cantSplit/>
          <w:jc w:val="center"/>
        </w:trPr>
        <w:tc>
          <w:tcPr>
            <w:tcW w:w="5717" w:type="dxa"/>
            <w:tcBorders>
              <w:bottom w:val="single" w:sz="6" w:space="0" w:color="0075C9"/>
            </w:tcBorders>
            <w:hideMark/>
          </w:tcPr>
          <w:p w14:paraId="18AB5E89"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Advisory Vote to Approve Named</w:t>
            </w:r>
          </w:p>
          <w:p w14:paraId="01567089" w14:textId="77777777" w:rsidR="00D246A9" w:rsidRDefault="00D246A9">
            <w:pPr>
              <w:pStyle w:val="NormalWeb"/>
              <w:spacing w:before="0" w:beforeAutospacing="0" w:after="20" w:afterAutospacing="0" w:line="280" w:lineRule="atLeast"/>
              <w:ind w:left="826" w:hanging="240"/>
              <w:rPr>
                <w:rFonts w:ascii="Arial" w:hAnsi="Arial" w:cs="Arial"/>
                <w:sz w:val="18"/>
                <w:szCs w:val="18"/>
              </w:rPr>
            </w:pPr>
            <w:r>
              <w:rPr>
                <w:rFonts w:ascii="Arial" w:hAnsi="Arial" w:cs="Arial"/>
                <w:sz w:val="18"/>
                <w:szCs w:val="18"/>
              </w:rPr>
              <w:t>Executive Officer Compensation (“say-on-pay vote”)</w:t>
            </w:r>
          </w:p>
        </w:tc>
        <w:tc>
          <w:tcPr>
            <w:tcW w:w="2118" w:type="dxa"/>
            <w:tcBorders>
              <w:bottom w:val="single" w:sz="6" w:space="0" w:color="0075C9"/>
            </w:tcBorders>
            <w:vAlign w:val="bottom"/>
            <w:hideMark/>
          </w:tcPr>
          <w:p w14:paraId="6C27E52C"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p w14:paraId="518FCC09"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345" w:type="dxa"/>
            <w:tcBorders>
              <w:bottom w:val="single" w:sz="6" w:space="0" w:color="0075C9"/>
            </w:tcBorders>
            <w:vAlign w:val="bottom"/>
            <w:hideMark/>
          </w:tcPr>
          <w:p w14:paraId="14934ED0"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7243375C"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620" w:type="dxa"/>
            <w:tcBorders>
              <w:bottom w:val="single" w:sz="6" w:space="0" w:color="0075C9"/>
            </w:tcBorders>
            <w:vAlign w:val="bottom"/>
            <w:hideMark/>
          </w:tcPr>
          <w:p w14:paraId="17AFAE4C"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49BE6669"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246A9" w14:paraId="03049F25" w14:textId="77777777" w:rsidTr="00584D81">
        <w:trPr>
          <w:cantSplit/>
          <w:jc w:val="center"/>
        </w:trPr>
        <w:tc>
          <w:tcPr>
            <w:tcW w:w="5717" w:type="dxa"/>
            <w:tcBorders>
              <w:bottom w:val="single" w:sz="6" w:space="0" w:color="0075C9"/>
            </w:tcBorders>
            <w:hideMark/>
          </w:tcPr>
          <w:p w14:paraId="458A2031"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Advisory Vote on the Frequency of Advisory Vote on</w:t>
            </w:r>
          </w:p>
          <w:p w14:paraId="5F01D190" w14:textId="77777777" w:rsidR="00D246A9" w:rsidRDefault="00D246A9">
            <w:pPr>
              <w:pStyle w:val="NormalWeb"/>
              <w:spacing w:before="0" w:beforeAutospacing="0" w:after="20" w:afterAutospacing="0" w:line="280" w:lineRule="atLeast"/>
              <w:ind w:left="826" w:hanging="240"/>
              <w:rPr>
                <w:rFonts w:ascii="Arial" w:hAnsi="Arial" w:cs="Arial"/>
                <w:sz w:val="18"/>
                <w:szCs w:val="18"/>
              </w:rPr>
            </w:pPr>
            <w:r>
              <w:rPr>
                <w:rFonts w:ascii="Arial" w:hAnsi="Arial" w:cs="Arial"/>
                <w:sz w:val="18"/>
                <w:szCs w:val="18"/>
              </w:rPr>
              <w:t>Executive Compensation</w:t>
            </w:r>
          </w:p>
        </w:tc>
        <w:tc>
          <w:tcPr>
            <w:tcW w:w="2118" w:type="dxa"/>
            <w:tcBorders>
              <w:bottom w:val="single" w:sz="6" w:space="0" w:color="0075C9"/>
            </w:tcBorders>
            <w:vAlign w:val="bottom"/>
            <w:hideMark/>
          </w:tcPr>
          <w:p w14:paraId="63D17261"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Plurality of votes cast</w:t>
            </w:r>
          </w:p>
          <w:p w14:paraId="751DD0BF"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345" w:type="dxa"/>
            <w:tcBorders>
              <w:bottom w:val="single" w:sz="6" w:space="0" w:color="0075C9"/>
            </w:tcBorders>
            <w:vAlign w:val="bottom"/>
            <w:hideMark/>
          </w:tcPr>
          <w:p w14:paraId="13DE239B"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4C089A4B"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620" w:type="dxa"/>
            <w:tcBorders>
              <w:bottom w:val="single" w:sz="6" w:space="0" w:color="0075C9"/>
            </w:tcBorders>
            <w:vAlign w:val="bottom"/>
            <w:hideMark/>
          </w:tcPr>
          <w:p w14:paraId="011416CD"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7ABB6AFE"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246A9" w14:paraId="238FCA3F" w14:textId="77777777" w:rsidTr="00584D81">
        <w:trPr>
          <w:cantSplit/>
          <w:jc w:val="center"/>
        </w:trPr>
        <w:tc>
          <w:tcPr>
            <w:tcW w:w="5717" w:type="dxa"/>
            <w:tcBorders>
              <w:bottom w:val="single" w:sz="6" w:space="0" w:color="595959"/>
            </w:tcBorders>
            <w:hideMark/>
          </w:tcPr>
          <w:p w14:paraId="6359F9AC"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Ratification of the Selection of Deloitte &amp; Touche LLP</w:t>
            </w:r>
          </w:p>
          <w:p w14:paraId="0DCC3446" w14:textId="77777777" w:rsidR="00D246A9" w:rsidRDefault="00D246A9">
            <w:pPr>
              <w:pStyle w:val="NormalWeb"/>
              <w:spacing w:before="0" w:beforeAutospacing="0" w:after="20" w:afterAutospacing="0" w:line="280" w:lineRule="atLeast"/>
              <w:ind w:left="826" w:hanging="240"/>
              <w:rPr>
                <w:rFonts w:ascii="Arial" w:hAnsi="Arial" w:cs="Arial"/>
                <w:sz w:val="18"/>
                <w:szCs w:val="18"/>
              </w:rPr>
            </w:pPr>
            <w:r>
              <w:rPr>
                <w:rFonts w:ascii="Arial" w:hAnsi="Arial" w:cs="Arial"/>
                <w:sz w:val="18"/>
                <w:szCs w:val="18"/>
              </w:rPr>
              <w:t>as our Independent Auditor for Fiscal Year 2024</w:t>
            </w:r>
          </w:p>
        </w:tc>
        <w:tc>
          <w:tcPr>
            <w:tcW w:w="2118" w:type="dxa"/>
            <w:tcBorders>
              <w:bottom w:val="single" w:sz="6" w:space="0" w:color="595959"/>
            </w:tcBorders>
            <w:vAlign w:val="bottom"/>
            <w:hideMark/>
          </w:tcPr>
          <w:p w14:paraId="6DFE246A"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p w14:paraId="49C7DF2F"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345" w:type="dxa"/>
            <w:tcBorders>
              <w:bottom w:val="single" w:sz="6" w:space="0" w:color="595959"/>
            </w:tcBorders>
            <w:vAlign w:val="bottom"/>
            <w:hideMark/>
          </w:tcPr>
          <w:p w14:paraId="13C9DE7A"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42689DFA"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620" w:type="dxa"/>
            <w:tcBorders>
              <w:bottom w:val="single" w:sz="6" w:space="0" w:color="595959"/>
            </w:tcBorders>
            <w:vAlign w:val="bottom"/>
            <w:hideMark/>
          </w:tcPr>
          <w:p w14:paraId="42814761"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Discretionary vote</w:t>
            </w:r>
            <w:r>
              <w:rPr>
                <w:rFonts w:ascii="Arial" w:hAnsi="Arial" w:cs="Arial"/>
                <w:sz w:val="18"/>
                <w:szCs w:val="18"/>
              </w:rPr>
              <w:t> </w:t>
            </w:r>
            <w:r>
              <w:rPr>
                <w:rFonts w:ascii="Arial" w:hAnsi="Arial" w:cs="Arial"/>
                <w:sz w:val="18"/>
                <w:szCs w:val="18"/>
              </w:rPr>
              <w:t> </w:t>
            </w:r>
          </w:p>
          <w:p w14:paraId="749C199E"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246A9" w14:paraId="37A04444" w14:textId="77777777" w:rsidTr="00FE0A0A">
        <w:trPr>
          <w:cantSplit/>
          <w:jc w:val="center"/>
        </w:trPr>
        <w:tc>
          <w:tcPr>
            <w:tcW w:w="10800" w:type="dxa"/>
            <w:gridSpan w:val="4"/>
            <w:tcBorders>
              <w:bottom w:val="single" w:sz="6" w:space="0" w:color="595959"/>
            </w:tcBorders>
            <w:tcMar>
              <w:top w:w="0" w:type="dxa"/>
              <w:left w:w="0" w:type="dxa"/>
              <w:bottom w:w="40" w:type="dxa"/>
              <w:right w:w="0" w:type="dxa"/>
            </w:tcMar>
            <w:hideMark/>
          </w:tcPr>
          <w:p w14:paraId="33A0B72F" w14:textId="77777777" w:rsidR="00D246A9" w:rsidRPr="00306F7C" w:rsidRDefault="00D246A9">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sz w:val="18"/>
                <w:szCs w:val="18"/>
              </w:rPr>
              <w:t>Shareholder Proposals</w:t>
            </w:r>
          </w:p>
        </w:tc>
      </w:tr>
      <w:tr w:rsidR="00D246A9" w14:paraId="165E0D40" w14:textId="77777777" w:rsidTr="00584D81">
        <w:trPr>
          <w:cantSplit/>
          <w:jc w:val="center"/>
        </w:trPr>
        <w:tc>
          <w:tcPr>
            <w:tcW w:w="5717" w:type="dxa"/>
            <w:tcBorders>
              <w:bottom w:val="single" w:sz="6" w:space="0" w:color="0075C9"/>
            </w:tcBorders>
            <w:hideMark/>
          </w:tcPr>
          <w:p w14:paraId="1A67B567"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Gender-Based Compensation and</w:t>
            </w:r>
          </w:p>
          <w:p w14:paraId="17A6FBF3" w14:textId="77777777" w:rsidR="00D246A9" w:rsidRDefault="00D246A9">
            <w:pPr>
              <w:pStyle w:val="NormalWeb"/>
              <w:spacing w:before="0" w:beforeAutospacing="0" w:after="20" w:afterAutospacing="0" w:line="280" w:lineRule="atLeast"/>
              <w:ind w:left="826" w:hanging="240"/>
              <w:rPr>
                <w:rFonts w:ascii="Arial" w:hAnsi="Arial" w:cs="Arial"/>
                <w:sz w:val="18"/>
                <w:szCs w:val="18"/>
              </w:rPr>
            </w:pPr>
            <w:r>
              <w:rPr>
                <w:rFonts w:ascii="Arial" w:hAnsi="Arial" w:cs="Arial"/>
                <w:sz w:val="18"/>
                <w:szCs w:val="18"/>
              </w:rPr>
              <w:t>Benefit Gaps</w:t>
            </w:r>
          </w:p>
        </w:tc>
        <w:tc>
          <w:tcPr>
            <w:tcW w:w="2118" w:type="dxa"/>
            <w:tcBorders>
              <w:bottom w:val="single" w:sz="6" w:space="0" w:color="0075C9"/>
            </w:tcBorders>
            <w:vAlign w:val="bottom"/>
            <w:hideMark/>
          </w:tcPr>
          <w:p w14:paraId="7C1C5059"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p w14:paraId="65435393"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345" w:type="dxa"/>
            <w:tcBorders>
              <w:bottom w:val="single" w:sz="6" w:space="0" w:color="0075C9"/>
            </w:tcBorders>
            <w:vAlign w:val="bottom"/>
            <w:hideMark/>
          </w:tcPr>
          <w:p w14:paraId="62EA284F"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4C194CD8"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620" w:type="dxa"/>
            <w:tcBorders>
              <w:bottom w:val="single" w:sz="6" w:space="0" w:color="0075C9"/>
            </w:tcBorders>
            <w:vAlign w:val="bottom"/>
            <w:hideMark/>
          </w:tcPr>
          <w:p w14:paraId="01A5D4C3"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51DFEB98"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246A9" w14:paraId="30109DC1" w14:textId="77777777" w:rsidTr="00584D81">
        <w:trPr>
          <w:cantSplit/>
          <w:jc w:val="center"/>
        </w:trPr>
        <w:tc>
          <w:tcPr>
            <w:tcW w:w="5717" w:type="dxa"/>
            <w:tcBorders>
              <w:bottom w:val="single" w:sz="6" w:space="0" w:color="0075C9"/>
            </w:tcBorders>
            <w:hideMark/>
          </w:tcPr>
          <w:p w14:paraId="312F05D3"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Risk from Omitting Ideology in EEO Policy</w:t>
            </w:r>
          </w:p>
        </w:tc>
        <w:tc>
          <w:tcPr>
            <w:tcW w:w="2118" w:type="dxa"/>
            <w:tcBorders>
              <w:bottom w:val="single" w:sz="6" w:space="0" w:color="0075C9"/>
            </w:tcBorders>
            <w:vAlign w:val="bottom"/>
            <w:hideMark/>
          </w:tcPr>
          <w:p w14:paraId="73FF449E"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345" w:type="dxa"/>
            <w:tcBorders>
              <w:bottom w:val="single" w:sz="6" w:space="0" w:color="0075C9"/>
            </w:tcBorders>
            <w:vAlign w:val="bottom"/>
            <w:hideMark/>
          </w:tcPr>
          <w:p w14:paraId="22F860DB"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620" w:type="dxa"/>
            <w:tcBorders>
              <w:bottom w:val="single" w:sz="6" w:space="0" w:color="0075C9"/>
            </w:tcBorders>
            <w:vAlign w:val="bottom"/>
            <w:hideMark/>
          </w:tcPr>
          <w:p w14:paraId="2DA863FD"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D246A9" w14:paraId="61E6B3F6" w14:textId="77777777" w:rsidTr="00584D81">
        <w:trPr>
          <w:cantSplit/>
          <w:jc w:val="center"/>
        </w:trPr>
        <w:tc>
          <w:tcPr>
            <w:tcW w:w="5717" w:type="dxa"/>
            <w:tcBorders>
              <w:bottom w:val="single" w:sz="6" w:space="0" w:color="0075C9"/>
            </w:tcBorders>
            <w:hideMark/>
          </w:tcPr>
          <w:p w14:paraId="0880BB7A"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Government Takedown Requests</w:t>
            </w:r>
          </w:p>
        </w:tc>
        <w:tc>
          <w:tcPr>
            <w:tcW w:w="2118" w:type="dxa"/>
            <w:tcBorders>
              <w:bottom w:val="single" w:sz="6" w:space="0" w:color="0075C9"/>
            </w:tcBorders>
            <w:vAlign w:val="bottom"/>
            <w:hideMark/>
          </w:tcPr>
          <w:p w14:paraId="4DA4D9F0"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345" w:type="dxa"/>
            <w:tcBorders>
              <w:bottom w:val="single" w:sz="6" w:space="0" w:color="0075C9"/>
            </w:tcBorders>
            <w:vAlign w:val="bottom"/>
            <w:hideMark/>
          </w:tcPr>
          <w:p w14:paraId="4849A2E1"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620" w:type="dxa"/>
            <w:tcBorders>
              <w:bottom w:val="single" w:sz="6" w:space="0" w:color="0075C9"/>
            </w:tcBorders>
            <w:vAlign w:val="bottom"/>
            <w:hideMark/>
          </w:tcPr>
          <w:p w14:paraId="4BFA71A5"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D246A9" w14:paraId="54249635" w14:textId="77777777" w:rsidTr="00584D81">
        <w:trPr>
          <w:cantSplit/>
          <w:jc w:val="center"/>
        </w:trPr>
        <w:tc>
          <w:tcPr>
            <w:tcW w:w="5717" w:type="dxa"/>
            <w:tcBorders>
              <w:bottom w:val="single" w:sz="6" w:space="0" w:color="0075C9"/>
            </w:tcBorders>
            <w:hideMark/>
          </w:tcPr>
          <w:p w14:paraId="6A92C938"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Risks of Weapons Development</w:t>
            </w:r>
          </w:p>
        </w:tc>
        <w:tc>
          <w:tcPr>
            <w:tcW w:w="2118" w:type="dxa"/>
            <w:tcBorders>
              <w:bottom w:val="single" w:sz="6" w:space="0" w:color="0075C9"/>
            </w:tcBorders>
            <w:vAlign w:val="bottom"/>
            <w:hideMark/>
          </w:tcPr>
          <w:p w14:paraId="1C3E55EB"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345" w:type="dxa"/>
            <w:tcBorders>
              <w:bottom w:val="single" w:sz="6" w:space="0" w:color="0075C9"/>
            </w:tcBorders>
            <w:vAlign w:val="bottom"/>
            <w:hideMark/>
          </w:tcPr>
          <w:p w14:paraId="1E72D36B"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620" w:type="dxa"/>
            <w:tcBorders>
              <w:bottom w:val="single" w:sz="6" w:space="0" w:color="0075C9"/>
            </w:tcBorders>
            <w:vAlign w:val="bottom"/>
            <w:hideMark/>
          </w:tcPr>
          <w:p w14:paraId="36256871"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D246A9" w14:paraId="10F21671" w14:textId="77777777" w:rsidTr="00584D81">
        <w:trPr>
          <w:cantSplit/>
          <w:jc w:val="center"/>
        </w:trPr>
        <w:tc>
          <w:tcPr>
            <w:tcW w:w="5717" w:type="dxa"/>
            <w:tcBorders>
              <w:bottom w:val="single" w:sz="6" w:space="0" w:color="0075C9"/>
            </w:tcBorders>
            <w:hideMark/>
          </w:tcPr>
          <w:p w14:paraId="1AA36352"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Climate Risks to Retirement Plan Beneficiaries</w:t>
            </w:r>
          </w:p>
        </w:tc>
        <w:tc>
          <w:tcPr>
            <w:tcW w:w="2118" w:type="dxa"/>
            <w:tcBorders>
              <w:bottom w:val="single" w:sz="6" w:space="0" w:color="0075C9"/>
            </w:tcBorders>
            <w:vAlign w:val="bottom"/>
            <w:hideMark/>
          </w:tcPr>
          <w:p w14:paraId="09260221"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345" w:type="dxa"/>
            <w:tcBorders>
              <w:bottom w:val="single" w:sz="6" w:space="0" w:color="0075C9"/>
            </w:tcBorders>
            <w:vAlign w:val="bottom"/>
            <w:hideMark/>
          </w:tcPr>
          <w:p w14:paraId="122C6E74"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620" w:type="dxa"/>
            <w:tcBorders>
              <w:bottom w:val="single" w:sz="6" w:space="0" w:color="0075C9"/>
            </w:tcBorders>
            <w:vAlign w:val="bottom"/>
            <w:hideMark/>
          </w:tcPr>
          <w:p w14:paraId="4D961009"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D246A9" w14:paraId="77C8D3DC" w14:textId="77777777" w:rsidTr="00584D81">
        <w:trPr>
          <w:cantSplit/>
          <w:jc w:val="center"/>
        </w:trPr>
        <w:tc>
          <w:tcPr>
            <w:tcW w:w="5717" w:type="dxa"/>
            <w:tcBorders>
              <w:bottom w:val="single" w:sz="6" w:space="0" w:color="0075C9"/>
            </w:tcBorders>
            <w:hideMark/>
          </w:tcPr>
          <w:p w14:paraId="3253B97B"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Tax Transparency</w:t>
            </w:r>
          </w:p>
        </w:tc>
        <w:tc>
          <w:tcPr>
            <w:tcW w:w="2118" w:type="dxa"/>
            <w:tcBorders>
              <w:bottom w:val="single" w:sz="6" w:space="0" w:color="0075C9"/>
            </w:tcBorders>
            <w:vAlign w:val="bottom"/>
            <w:hideMark/>
          </w:tcPr>
          <w:p w14:paraId="50FF61A6"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345" w:type="dxa"/>
            <w:tcBorders>
              <w:bottom w:val="single" w:sz="6" w:space="0" w:color="0075C9"/>
            </w:tcBorders>
            <w:vAlign w:val="bottom"/>
            <w:hideMark/>
          </w:tcPr>
          <w:p w14:paraId="7051FF75"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620" w:type="dxa"/>
            <w:tcBorders>
              <w:bottom w:val="single" w:sz="6" w:space="0" w:color="0075C9"/>
            </w:tcBorders>
            <w:vAlign w:val="bottom"/>
            <w:hideMark/>
          </w:tcPr>
          <w:p w14:paraId="14C229C3"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D246A9" w14:paraId="1DE685B4" w14:textId="77777777" w:rsidTr="00584D81">
        <w:trPr>
          <w:cantSplit/>
          <w:jc w:val="center"/>
        </w:trPr>
        <w:tc>
          <w:tcPr>
            <w:tcW w:w="5717" w:type="dxa"/>
            <w:tcBorders>
              <w:bottom w:val="single" w:sz="6" w:space="0" w:color="0075C9"/>
            </w:tcBorders>
            <w:hideMark/>
          </w:tcPr>
          <w:p w14:paraId="6E749DB3"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Data Operations in Human Rights Hotspots</w:t>
            </w:r>
          </w:p>
        </w:tc>
        <w:tc>
          <w:tcPr>
            <w:tcW w:w="2118" w:type="dxa"/>
            <w:tcBorders>
              <w:bottom w:val="single" w:sz="6" w:space="0" w:color="0075C9"/>
            </w:tcBorders>
            <w:vAlign w:val="bottom"/>
            <w:hideMark/>
          </w:tcPr>
          <w:p w14:paraId="0AD2C2C2"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345" w:type="dxa"/>
            <w:tcBorders>
              <w:bottom w:val="single" w:sz="6" w:space="0" w:color="0075C9"/>
            </w:tcBorders>
            <w:vAlign w:val="bottom"/>
            <w:hideMark/>
          </w:tcPr>
          <w:p w14:paraId="52864126"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620" w:type="dxa"/>
            <w:tcBorders>
              <w:bottom w:val="single" w:sz="6" w:space="0" w:color="0075C9"/>
            </w:tcBorders>
            <w:vAlign w:val="bottom"/>
            <w:hideMark/>
          </w:tcPr>
          <w:p w14:paraId="037E433F"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D246A9" w14:paraId="4BAA8731" w14:textId="77777777" w:rsidTr="00584D81">
        <w:trPr>
          <w:cantSplit/>
          <w:jc w:val="center"/>
        </w:trPr>
        <w:tc>
          <w:tcPr>
            <w:tcW w:w="5717" w:type="dxa"/>
            <w:tcBorders>
              <w:bottom w:val="single" w:sz="6" w:space="0" w:color="0075C9"/>
            </w:tcBorders>
            <w:hideMark/>
          </w:tcPr>
          <w:p w14:paraId="2FA41E9D"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Mandate for Third-Party Political Reporting</w:t>
            </w:r>
          </w:p>
        </w:tc>
        <w:tc>
          <w:tcPr>
            <w:tcW w:w="2118" w:type="dxa"/>
            <w:tcBorders>
              <w:bottom w:val="single" w:sz="6" w:space="0" w:color="0075C9"/>
            </w:tcBorders>
            <w:vAlign w:val="bottom"/>
            <w:hideMark/>
          </w:tcPr>
          <w:p w14:paraId="463726CE"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345" w:type="dxa"/>
            <w:tcBorders>
              <w:bottom w:val="single" w:sz="6" w:space="0" w:color="0075C9"/>
            </w:tcBorders>
            <w:vAlign w:val="bottom"/>
            <w:hideMark/>
          </w:tcPr>
          <w:p w14:paraId="4CD88866"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620" w:type="dxa"/>
            <w:tcBorders>
              <w:bottom w:val="single" w:sz="6" w:space="0" w:color="0075C9"/>
            </w:tcBorders>
            <w:vAlign w:val="bottom"/>
            <w:hideMark/>
          </w:tcPr>
          <w:p w14:paraId="29F5898C"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D246A9" w14:paraId="432E05C6" w14:textId="77777777" w:rsidTr="00584D81">
        <w:trPr>
          <w:cantSplit/>
          <w:jc w:val="center"/>
        </w:trPr>
        <w:tc>
          <w:tcPr>
            <w:tcW w:w="5717" w:type="dxa"/>
            <w:tcBorders>
              <w:bottom w:val="single" w:sz="6" w:space="0" w:color="0075C9"/>
            </w:tcBorders>
            <w:vAlign w:val="bottom"/>
            <w:hideMark/>
          </w:tcPr>
          <w:p w14:paraId="681139A4"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AI Misinformation and Disinformation</w:t>
            </w:r>
          </w:p>
        </w:tc>
        <w:tc>
          <w:tcPr>
            <w:tcW w:w="2118" w:type="dxa"/>
            <w:tcBorders>
              <w:bottom w:val="single" w:sz="6" w:space="0" w:color="0075C9"/>
            </w:tcBorders>
            <w:vAlign w:val="bottom"/>
            <w:hideMark/>
          </w:tcPr>
          <w:p w14:paraId="77DD366B"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345" w:type="dxa"/>
            <w:tcBorders>
              <w:bottom w:val="single" w:sz="6" w:space="0" w:color="0075C9"/>
            </w:tcBorders>
            <w:vAlign w:val="bottom"/>
            <w:hideMark/>
          </w:tcPr>
          <w:p w14:paraId="7C7DB202"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620" w:type="dxa"/>
            <w:tcBorders>
              <w:bottom w:val="single" w:sz="6" w:space="0" w:color="0075C9"/>
            </w:tcBorders>
            <w:vAlign w:val="bottom"/>
            <w:hideMark/>
          </w:tcPr>
          <w:p w14:paraId="7D2302C4"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bl>
    <w:p w14:paraId="57A05E69" w14:textId="77777777" w:rsidR="00D246A9" w:rsidRPr="00306F7C" w:rsidRDefault="00D246A9" w:rsidP="007D1AD1">
      <w:pPr>
        <w:pStyle w:val="Heading4"/>
      </w:pPr>
      <w:bookmarkStart w:id="44" w:name="toc356108_45"/>
      <w:bookmarkEnd w:id="44"/>
      <w:r>
        <w:t xml:space="preserve">Vote Confidentiality </w:t>
      </w:r>
    </w:p>
    <w:p w14:paraId="3E52C80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maintain the confidentiality of the votes of individual shareholders. Ballots, proxy forms, and voting instructions returned to brokerage firms, banks, and other holders of record are kept confidential. Only the proxy solicitor, proxy tabulator, and inspector of election have access to the ballots, proxy forms, and voting instructions. The proxy solicitor and the proxy tabulator will disclose information taken from the ballots, proxy forms, and voting instructions only if there is a proxy contest, if the shareholder authorizes disclosure, to defend legal claims, or as otherwise required by law. If you write comments on your proxy card or ballot, management may learn how you voted in reviewing your comments. </w:t>
      </w:r>
    </w:p>
    <w:p w14:paraId="08D14F67" w14:textId="77777777" w:rsidR="00D246A9" w:rsidRDefault="00D246A9" w:rsidP="002C34E9">
      <w:pPr>
        <w:pStyle w:val="Heading4"/>
        <w:spacing w:before="120"/>
      </w:pPr>
      <w:bookmarkStart w:id="45" w:name="toc356108_46"/>
      <w:bookmarkEnd w:id="45"/>
      <w:r>
        <w:t xml:space="preserve">Tabulation of Votes </w:t>
      </w:r>
    </w:p>
    <w:p w14:paraId="60DFCA2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independent election inspector, Broadridge Financial Services, will tabulate votes cast by proxy or electronically during the meeting. We expect to publish the final vote tabulation on our website at </w:t>
      </w:r>
      <w:r>
        <w:rPr>
          <w:rFonts w:ascii="Arial" w:hAnsi="Arial" w:cs="Arial"/>
          <w:sz w:val="18"/>
          <w:szCs w:val="18"/>
          <w:u w:val="single"/>
        </w:rPr>
        <w:t>microsoft.com/investor/corporate-governance/</w:t>
      </w:r>
      <w:proofErr w:type="spellStart"/>
      <w:r>
        <w:rPr>
          <w:rFonts w:ascii="Arial" w:hAnsi="Arial" w:cs="Arial"/>
          <w:sz w:val="18"/>
          <w:szCs w:val="18"/>
          <w:u w:val="single"/>
        </w:rPr>
        <w:t>votingresults</w:t>
      </w:r>
      <w:proofErr w:type="spellEnd"/>
      <w:r>
        <w:rPr>
          <w:rFonts w:ascii="Arial" w:hAnsi="Arial" w:cs="Arial"/>
          <w:sz w:val="18"/>
          <w:szCs w:val="18"/>
        </w:rPr>
        <w:t xml:space="preserve"> and report the results in a Form 8-K filed with the SEC within four business days after the Annual Meeting. </w:t>
      </w:r>
    </w:p>
    <w:p w14:paraId="045A382C" w14:textId="77777777" w:rsidR="00D246A9" w:rsidRDefault="00D246A9" w:rsidP="002C34E9">
      <w:pPr>
        <w:pStyle w:val="Heading4"/>
        <w:spacing w:before="120"/>
      </w:pPr>
      <w:bookmarkStart w:id="46" w:name="toc356108_47"/>
      <w:bookmarkEnd w:id="46"/>
      <w:r>
        <w:t xml:space="preserve">Where to Find More Proxy Voting Information </w:t>
      </w:r>
    </w:p>
    <w:p w14:paraId="14299DD8" w14:textId="77777777" w:rsidR="00D246A9" w:rsidRDefault="00D246A9" w:rsidP="002C34E9">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The SEC website has a variety of information about the proxy voting process at </w:t>
      </w:r>
      <w:r>
        <w:rPr>
          <w:rFonts w:ascii="Arial" w:hAnsi="Arial" w:cs="Arial"/>
          <w:sz w:val="18"/>
          <w:szCs w:val="18"/>
          <w:u w:val="single"/>
        </w:rPr>
        <w:t xml:space="preserve">sec.gov/spotlight/proxymatters.shtml </w:t>
      </w:r>
    </w:p>
    <w:p w14:paraId="1B99213E" w14:textId="77777777" w:rsidR="00D246A9" w:rsidRDefault="00D246A9" w:rsidP="002C34E9">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Contact the Microsoft Investor Relations department through our website at </w:t>
      </w:r>
      <w:r>
        <w:rPr>
          <w:rFonts w:ascii="Arial" w:hAnsi="Arial" w:cs="Arial"/>
          <w:sz w:val="18"/>
          <w:szCs w:val="18"/>
          <w:u w:val="single"/>
        </w:rPr>
        <w:t>microsoft.com/investor</w:t>
      </w:r>
      <w:r>
        <w:rPr>
          <w:rFonts w:ascii="Arial" w:hAnsi="Arial" w:cs="Arial"/>
          <w:sz w:val="18"/>
          <w:szCs w:val="18"/>
        </w:rPr>
        <w:t xml:space="preserve"> or by phone at 425-706-4400 </w:t>
      </w:r>
    </w:p>
    <w:p w14:paraId="5C9CFCB9" w14:textId="77777777" w:rsidR="00D246A9" w:rsidRDefault="00D246A9" w:rsidP="002C34E9">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You may view our Annual Report and vote your shares at </w:t>
      </w:r>
      <w:r>
        <w:rPr>
          <w:rFonts w:ascii="Arial" w:hAnsi="Arial" w:cs="Arial"/>
          <w:sz w:val="18"/>
          <w:szCs w:val="18"/>
          <w:u w:val="single"/>
        </w:rPr>
        <w:t>proxyvote.com</w:t>
      </w:r>
      <w:r>
        <w:rPr>
          <w:rFonts w:ascii="Arial" w:hAnsi="Arial" w:cs="Arial"/>
          <w:sz w:val="18"/>
          <w:szCs w:val="18"/>
        </w:rPr>
        <w:t xml:space="preserve"> </w:t>
      </w:r>
    </w:p>
    <w:p w14:paraId="0D981DB3" w14:textId="77777777" w:rsidR="00D246A9" w:rsidRDefault="00D246A9" w:rsidP="002C34E9">
      <w:pPr>
        <w:pStyle w:val="NormalWeb"/>
        <w:spacing w:before="120" w:beforeAutospacing="0" w:after="0" w:afterAutospacing="0"/>
        <w:ind w:left="180" w:hanging="194"/>
        <w:rPr>
          <w:rFonts w:ascii="Arial" w:hAnsi="Arial" w:cs="Arial"/>
          <w:sz w:val="18"/>
          <w:szCs w:val="18"/>
        </w:rPr>
      </w:pPr>
      <w:r>
        <w:rPr>
          <w:rFonts w:ascii="Arial" w:hAnsi="Arial" w:cs="Arial"/>
          <w:sz w:val="18"/>
          <w:szCs w:val="18"/>
        </w:rPr>
        <w:t>•</w:t>
      </w:r>
      <w:r>
        <w:rPr>
          <w:rFonts w:ascii="Arial" w:hAnsi="Arial" w:cs="Arial"/>
          <w:sz w:val="18"/>
          <w:szCs w:val="18"/>
        </w:rPr>
        <w:tab/>
        <w:t xml:space="preserve">Contact the broker or bank through which you beneficially own your shares </w:t>
      </w:r>
    </w:p>
    <w:p w14:paraId="1FB8235D" w14:textId="77777777" w:rsidR="00D246A9" w:rsidRDefault="00D246A9" w:rsidP="007D1AD1">
      <w:pPr>
        <w:pStyle w:val="Heading4"/>
      </w:pPr>
      <w:bookmarkStart w:id="47" w:name="toc356108_48"/>
      <w:bookmarkEnd w:id="47"/>
      <w:r>
        <w:lastRenderedPageBreak/>
        <w:t xml:space="preserve">Where to Find our Corporate Governance Documents </w:t>
      </w:r>
    </w:p>
    <w:p w14:paraId="7631574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Copies of our Board committee charters and other governance documents listed in Part 1 – Governance and our Board of Directors can be found at </w:t>
      </w:r>
      <w:r>
        <w:rPr>
          <w:rFonts w:ascii="Arial" w:hAnsi="Arial" w:cs="Arial"/>
          <w:sz w:val="18"/>
          <w:szCs w:val="18"/>
          <w:u w:val="single"/>
        </w:rPr>
        <w:t>aka.ms/policiesandguidelines</w:t>
      </w:r>
      <w:r>
        <w:rPr>
          <w:rFonts w:ascii="Arial" w:hAnsi="Arial" w:cs="Arial"/>
          <w:sz w:val="18"/>
          <w:szCs w:val="18"/>
        </w:rPr>
        <w:t>. We will provide any of the foregoing information to a shareholder without charge upon written request to MSC 123/9999, Office of the Corporate Secretary, Microsoft Corporation, One Microsoft Way, Redmond, WA 98052-6399</w:t>
      </w:r>
      <w:r>
        <w:rPr>
          <w:rFonts w:ascii="Arial" w:hAnsi="Arial" w:cs="Arial"/>
          <w:b/>
          <w:bCs/>
          <w:sz w:val="18"/>
          <w:szCs w:val="18"/>
        </w:rPr>
        <w:t xml:space="preserve">. </w:t>
      </w:r>
    </w:p>
    <w:p w14:paraId="5DED932F" w14:textId="77777777" w:rsidR="00D246A9" w:rsidRDefault="00D246A9">
      <w:pPr>
        <w:pStyle w:val="NormalWeb"/>
        <w:spacing w:before="360" w:beforeAutospacing="0" w:after="0" w:afterAutospacing="0"/>
        <w:rPr>
          <w:sz w:val="2"/>
          <w:szCs w:val="2"/>
        </w:rPr>
      </w:pPr>
      <w:r>
        <w:rPr>
          <w:sz w:val="2"/>
          <w:szCs w:val="2"/>
        </w:rPr>
        <w:t> </w:t>
      </w:r>
    </w:p>
    <w:p w14:paraId="7E345700" w14:textId="77777777" w:rsidR="00D246A9" w:rsidRDefault="00D246A9">
      <w:pPr>
        <w:pStyle w:val="rrdsinglerule"/>
        <w:pBdr>
          <w:top w:val="single" w:sz="6" w:space="0" w:color="0075C9"/>
        </w:pBdr>
        <w:spacing w:before="0"/>
        <w:rPr>
          <w:sz w:val="24"/>
          <w:szCs w:val="24"/>
        </w:rPr>
      </w:pPr>
      <w:r>
        <w:t> </w:t>
      </w:r>
    </w:p>
    <w:p w14:paraId="38FA8E8A" w14:textId="77777777" w:rsidR="00D246A9" w:rsidRDefault="00D246A9" w:rsidP="00B4165A">
      <w:pPr>
        <w:pStyle w:val="Heading3"/>
      </w:pPr>
      <w:bookmarkStart w:id="48" w:name="toc356108_49"/>
      <w:bookmarkEnd w:id="48"/>
      <w:r>
        <w:t xml:space="preserve">Proposals by Shareholders for 2024 Annual Meeting </w:t>
      </w:r>
    </w:p>
    <w:p w14:paraId="7F3B219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Any shareholder who wishes to submit a proposal, director nomination, or to present matters at next year’s shareholders meeting should comply with applicable Bylaws and SEC requirements, which are identified in the table below. </w:t>
      </w:r>
    </w:p>
    <w:p w14:paraId="1A83A4ED"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2247"/>
        <w:gridCol w:w="2255"/>
        <w:gridCol w:w="6298"/>
      </w:tblGrid>
      <w:tr w:rsidR="00D246A9" w14:paraId="65CCA6DA" w14:textId="77777777" w:rsidTr="00FE0A0A">
        <w:trPr>
          <w:cantSplit/>
          <w:tblHeader/>
          <w:jc w:val="center"/>
        </w:trPr>
        <w:tc>
          <w:tcPr>
            <w:tcW w:w="2247" w:type="dxa"/>
            <w:tcBorders>
              <w:bottom w:val="single" w:sz="8" w:space="0" w:color="000000"/>
            </w:tcBorders>
            <w:vAlign w:val="bottom"/>
            <w:hideMark/>
          </w:tcPr>
          <w:p w14:paraId="40760A1A"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Submission</w:t>
            </w:r>
          </w:p>
        </w:tc>
        <w:tc>
          <w:tcPr>
            <w:tcW w:w="2255" w:type="dxa"/>
            <w:tcBorders>
              <w:bottom w:val="single" w:sz="8" w:space="0" w:color="000000"/>
            </w:tcBorders>
            <w:tcMar>
              <w:top w:w="0" w:type="dxa"/>
              <w:left w:w="144" w:type="dxa"/>
              <w:bottom w:w="0" w:type="dxa"/>
              <w:right w:w="0" w:type="dxa"/>
            </w:tcMar>
            <w:vAlign w:val="bottom"/>
            <w:hideMark/>
          </w:tcPr>
          <w:p w14:paraId="0B6E5320" w14:textId="77777777" w:rsidR="00D246A9" w:rsidRDefault="00D246A9">
            <w:pPr>
              <w:rPr>
                <w:rFonts w:ascii="Arial" w:hAnsi="Arial" w:cs="Arial"/>
                <w:sz w:val="18"/>
                <w:szCs w:val="18"/>
              </w:rPr>
            </w:pPr>
            <w:r>
              <w:rPr>
                <w:rFonts w:ascii="Arial" w:hAnsi="Arial" w:cs="Arial"/>
                <w:b/>
                <w:bCs/>
                <w:sz w:val="18"/>
                <w:szCs w:val="18"/>
              </w:rPr>
              <w:t>Rules and Requirements</w:t>
            </w:r>
          </w:p>
        </w:tc>
        <w:tc>
          <w:tcPr>
            <w:tcW w:w="6298" w:type="dxa"/>
            <w:tcBorders>
              <w:bottom w:val="single" w:sz="8" w:space="0" w:color="000000"/>
            </w:tcBorders>
            <w:tcMar>
              <w:top w:w="0" w:type="dxa"/>
              <w:left w:w="144" w:type="dxa"/>
              <w:bottom w:w="0" w:type="dxa"/>
              <w:right w:w="0" w:type="dxa"/>
            </w:tcMar>
            <w:vAlign w:val="bottom"/>
            <w:hideMark/>
          </w:tcPr>
          <w:p w14:paraId="2277B7A3" w14:textId="77777777" w:rsidR="00D246A9" w:rsidRDefault="00D246A9">
            <w:pPr>
              <w:rPr>
                <w:rFonts w:ascii="Arial" w:hAnsi="Arial" w:cs="Arial"/>
                <w:sz w:val="18"/>
                <w:szCs w:val="18"/>
              </w:rPr>
            </w:pPr>
            <w:r>
              <w:rPr>
                <w:rFonts w:ascii="Arial" w:hAnsi="Arial" w:cs="Arial"/>
                <w:b/>
                <w:bCs/>
                <w:sz w:val="18"/>
                <w:szCs w:val="18"/>
              </w:rPr>
              <w:t>Deadline</w:t>
            </w:r>
          </w:p>
        </w:tc>
      </w:tr>
      <w:tr w:rsidR="00D246A9" w14:paraId="657D4C81" w14:textId="77777777" w:rsidTr="00FE0A0A">
        <w:trPr>
          <w:cantSplit/>
          <w:jc w:val="center"/>
        </w:trPr>
        <w:tc>
          <w:tcPr>
            <w:tcW w:w="2247" w:type="dxa"/>
            <w:tcBorders>
              <w:bottom w:val="single" w:sz="6" w:space="0" w:color="0075C9"/>
            </w:tcBorders>
            <w:tcMar>
              <w:top w:w="0" w:type="dxa"/>
              <w:left w:w="0" w:type="dxa"/>
              <w:bottom w:w="40" w:type="dxa"/>
              <w:right w:w="0" w:type="dxa"/>
            </w:tcMar>
            <w:hideMark/>
          </w:tcPr>
          <w:p w14:paraId="217DD8B6" w14:textId="77777777" w:rsidR="00D246A9" w:rsidRPr="00306F7C" w:rsidRDefault="00D246A9">
            <w:pPr>
              <w:pStyle w:val="NormalWeb"/>
              <w:keepNext/>
              <w:spacing w:before="0" w:beforeAutospacing="0" w:after="0" w:afterAutospacing="0"/>
              <w:ind w:left="106"/>
              <w:rPr>
                <w:rFonts w:ascii="Arial" w:hAnsi="Arial" w:cs="Arial"/>
                <w:sz w:val="18"/>
                <w:szCs w:val="18"/>
              </w:rPr>
            </w:pPr>
            <w:r>
              <w:rPr>
                <w:rFonts w:ascii="Arial" w:hAnsi="Arial" w:cs="Arial"/>
                <w:color w:val="0075C9"/>
                <w:sz w:val="18"/>
                <w:szCs w:val="18"/>
              </w:rPr>
              <w:t>Shareholder Proposals For Inclusion in Next Year’s Annual Meeting Proxy Materials</w:t>
            </w:r>
          </w:p>
        </w:tc>
        <w:tc>
          <w:tcPr>
            <w:tcW w:w="2255" w:type="dxa"/>
            <w:tcBorders>
              <w:bottom w:val="single" w:sz="6" w:space="0" w:color="0075C9"/>
            </w:tcBorders>
            <w:tcMar>
              <w:top w:w="0" w:type="dxa"/>
              <w:left w:w="0" w:type="dxa"/>
              <w:bottom w:w="40" w:type="dxa"/>
              <w:right w:w="0" w:type="dxa"/>
            </w:tcMar>
            <w:hideMark/>
          </w:tcPr>
          <w:p w14:paraId="73EF83F3" w14:textId="77777777" w:rsidR="00D246A9" w:rsidRDefault="00D246A9" w:rsidP="00C74F49">
            <w:pPr>
              <w:ind w:left="100"/>
              <w:rPr>
                <w:rFonts w:ascii="Arial" w:hAnsi="Arial" w:cs="Arial"/>
                <w:sz w:val="18"/>
                <w:szCs w:val="18"/>
              </w:rPr>
            </w:pPr>
            <w:r>
              <w:rPr>
                <w:rFonts w:ascii="Arial" w:hAnsi="Arial" w:cs="Arial"/>
                <w:sz w:val="18"/>
                <w:szCs w:val="18"/>
              </w:rPr>
              <w:t>SEC Rule 14a-8</w:t>
            </w:r>
          </w:p>
        </w:tc>
        <w:tc>
          <w:tcPr>
            <w:tcW w:w="6298" w:type="dxa"/>
            <w:tcBorders>
              <w:bottom w:val="single" w:sz="6" w:space="0" w:color="0075C9"/>
            </w:tcBorders>
            <w:tcMar>
              <w:top w:w="0" w:type="dxa"/>
              <w:left w:w="0" w:type="dxa"/>
              <w:bottom w:w="40" w:type="dxa"/>
              <w:right w:w="0" w:type="dxa"/>
            </w:tcMar>
            <w:hideMark/>
          </w:tcPr>
          <w:p w14:paraId="46A5E635" w14:textId="77777777" w:rsidR="00D246A9" w:rsidRDefault="00D246A9" w:rsidP="00C74F49">
            <w:pPr>
              <w:ind w:left="100"/>
              <w:rPr>
                <w:rFonts w:ascii="Arial" w:hAnsi="Arial" w:cs="Arial"/>
                <w:sz w:val="18"/>
                <w:szCs w:val="18"/>
              </w:rPr>
            </w:pPr>
            <w:r>
              <w:rPr>
                <w:rFonts w:ascii="Arial" w:hAnsi="Arial" w:cs="Arial"/>
                <w:sz w:val="18"/>
                <w:szCs w:val="18"/>
              </w:rPr>
              <w:t>No later than close of business (5:30 p.m. Pacific Time) on June 26, 2024</w:t>
            </w:r>
          </w:p>
        </w:tc>
      </w:tr>
      <w:tr w:rsidR="00D246A9" w14:paraId="45FA2944" w14:textId="77777777" w:rsidTr="00FE0A0A">
        <w:trPr>
          <w:cantSplit/>
          <w:jc w:val="center"/>
        </w:trPr>
        <w:tc>
          <w:tcPr>
            <w:tcW w:w="2247" w:type="dxa"/>
            <w:tcBorders>
              <w:bottom w:val="single" w:sz="6" w:space="0" w:color="0075C9"/>
            </w:tcBorders>
            <w:tcMar>
              <w:top w:w="0" w:type="dxa"/>
              <w:left w:w="0" w:type="dxa"/>
              <w:bottom w:w="40" w:type="dxa"/>
              <w:right w:w="0" w:type="dxa"/>
            </w:tcMar>
            <w:hideMark/>
          </w:tcPr>
          <w:p w14:paraId="030927F2" w14:textId="77777777" w:rsidR="00D246A9" w:rsidRPr="00306F7C" w:rsidRDefault="00D246A9">
            <w:pPr>
              <w:pStyle w:val="NormalWeb"/>
              <w:keepNext/>
              <w:spacing w:before="0" w:beforeAutospacing="0" w:after="0" w:afterAutospacing="0"/>
              <w:ind w:left="106"/>
              <w:rPr>
                <w:rFonts w:ascii="Arial" w:hAnsi="Arial" w:cs="Arial"/>
                <w:sz w:val="18"/>
                <w:szCs w:val="18"/>
              </w:rPr>
            </w:pPr>
            <w:r>
              <w:rPr>
                <w:rFonts w:ascii="Arial" w:hAnsi="Arial" w:cs="Arial"/>
                <w:color w:val="0075C9"/>
                <w:sz w:val="18"/>
                <w:szCs w:val="18"/>
              </w:rPr>
              <w:t>Proxy Access Director Nominees</w:t>
            </w:r>
          </w:p>
        </w:tc>
        <w:tc>
          <w:tcPr>
            <w:tcW w:w="2255" w:type="dxa"/>
            <w:tcBorders>
              <w:bottom w:val="single" w:sz="6" w:space="0" w:color="0075C9"/>
            </w:tcBorders>
            <w:tcMar>
              <w:top w:w="0" w:type="dxa"/>
              <w:left w:w="0" w:type="dxa"/>
              <w:bottom w:w="40" w:type="dxa"/>
              <w:right w:w="0" w:type="dxa"/>
            </w:tcMar>
            <w:hideMark/>
          </w:tcPr>
          <w:p w14:paraId="114E21CB" w14:textId="77777777" w:rsidR="00D246A9" w:rsidRDefault="00D246A9" w:rsidP="00C74F49">
            <w:pPr>
              <w:ind w:left="100"/>
              <w:rPr>
                <w:rFonts w:ascii="Arial" w:hAnsi="Arial" w:cs="Arial"/>
                <w:sz w:val="18"/>
                <w:szCs w:val="18"/>
              </w:rPr>
            </w:pPr>
            <w:r>
              <w:rPr>
                <w:rFonts w:ascii="Arial" w:hAnsi="Arial" w:cs="Arial"/>
                <w:sz w:val="18"/>
                <w:szCs w:val="18"/>
              </w:rPr>
              <w:t>Section 1.14 of Bylaws</w:t>
            </w:r>
          </w:p>
        </w:tc>
        <w:tc>
          <w:tcPr>
            <w:tcW w:w="6298" w:type="dxa"/>
            <w:tcBorders>
              <w:bottom w:val="single" w:sz="6" w:space="0" w:color="0075C9"/>
            </w:tcBorders>
            <w:tcMar>
              <w:top w:w="0" w:type="dxa"/>
              <w:left w:w="0" w:type="dxa"/>
              <w:bottom w:w="40" w:type="dxa"/>
              <w:right w:w="0" w:type="dxa"/>
            </w:tcMar>
            <w:hideMark/>
          </w:tcPr>
          <w:p w14:paraId="7D732909" w14:textId="77777777" w:rsidR="00D246A9" w:rsidRDefault="00D246A9" w:rsidP="00C74F49">
            <w:pPr>
              <w:ind w:left="100"/>
              <w:rPr>
                <w:rFonts w:ascii="Arial" w:hAnsi="Arial" w:cs="Arial"/>
                <w:sz w:val="18"/>
                <w:szCs w:val="18"/>
              </w:rPr>
            </w:pPr>
            <w:r>
              <w:rPr>
                <w:rFonts w:ascii="Arial" w:hAnsi="Arial" w:cs="Arial"/>
                <w:sz w:val="18"/>
                <w:szCs w:val="18"/>
              </w:rPr>
              <w:t>Between May 27, 2024, and close of business on June 26, 2024, assuming we do not change the date of our 2024 meeting date to be more than 30 days before or 60 days after the first anniversary of the date this definitive Proxy Statement is first released to shareholders</w:t>
            </w:r>
          </w:p>
        </w:tc>
      </w:tr>
      <w:tr w:rsidR="00D246A9" w14:paraId="073A59E4" w14:textId="77777777" w:rsidTr="00FE0A0A">
        <w:trPr>
          <w:cantSplit/>
          <w:jc w:val="center"/>
        </w:trPr>
        <w:tc>
          <w:tcPr>
            <w:tcW w:w="2247" w:type="dxa"/>
            <w:tcBorders>
              <w:bottom w:val="single" w:sz="6" w:space="0" w:color="0075C9"/>
            </w:tcBorders>
            <w:tcMar>
              <w:top w:w="0" w:type="dxa"/>
              <w:left w:w="0" w:type="dxa"/>
              <w:bottom w:w="40" w:type="dxa"/>
              <w:right w:w="0" w:type="dxa"/>
            </w:tcMar>
            <w:hideMark/>
          </w:tcPr>
          <w:p w14:paraId="121AB081" w14:textId="77777777" w:rsidR="00D246A9" w:rsidRPr="00306F7C" w:rsidRDefault="00D246A9">
            <w:pPr>
              <w:pStyle w:val="NormalWeb"/>
              <w:spacing w:before="0" w:beforeAutospacing="0" w:after="0" w:afterAutospacing="0"/>
              <w:ind w:left="106"/>
              <w:rPr>
                <w:rFonts w:ascii="Arial" w:hAnsi="Arial" w:cs="Arial"/>
                <w:sz w:val="18"/>
                <w:szCs w:val="18"/>
              </w:rPr>
            </w:pPr>
            <w:r>
              <w:rPr>
                <w:rFonts w:ascii="Arial" w:hAnsi="Arial" w:cs="Arial"/>
                <w:color w:val="0075C9"/>
                <w:sz w:val="18"/>
                <w:szCs w:val="18"/>
              </w:rPr>
              <w:t>Notice Provision for Other Items of Business or non-Proxy Access Director Nominees</w:t>
            </w:r>
          </w:p>
        </w:tc>
        <w:tc>
          <w:tcPr>
            <w:tcW w:w="2255" w:type="dxa"/>
            <w:tcBorders>
              <w:bottom w:val="single" w:sz="6" w:space="0" w:color="0075C9"/>
            </w:tcBorders>
            <w:tcMar>
              <w:top w:w="0" w:type="dxa"/>
              <w:left w:w="0" w:type="dxa"/>
              <w:bottom w:w="40" w:type="dxa"/>
              <w:right w:w="0" w:type="dxa"/>
            </w:tcMar>
            <w:hideMark/>
          </w:tcPr>
          <w:p w14:paraId="24F2065B" w14:textId="77777777" w:rsidR="00D246A9" w:rsidRDefault="00D246A9" w:rsidP="00C74F49">
            <w:pPr>
              <w:ind w:left="100"/>
              <w:rPr>
                <w:rFonts w:ascii="Arial" w:hAnsi="Arial" w:cs="Arial"/>
                <w:sz w:val="18"/>
                <w:szCs w:val="18"/>
              </w:rPr>
            </w:pPr>
            <w:r>
              <w:rPr>
                <w:rFonts w:ascii="Arial" w:hAnsi="Arial" w:cs="Arial"/>
                <w:sz w:val="18"/>
                <w:szCs w:val="18"/>
              </w:rPr>
              <w:t>Section 1.13 of Bylaws</w:t>
            </w:r>
          </w:p>
        </w:tc>
        <w:tc>
          <w:tcPr>
            <w:tcW w:w="6298" w:type="dxa"/>
            <w:tcBorders>
              <w:bottom w:val="single" w:sz="6" w:space="0" w:color="0075C9"/>
            </w:tcBorders>
            <w:tcMar>
              <w:top w:w="0" w:type="dxa"/>
              <w:left w:w="0" w:type="dxa"/>
              <w:bottom w:w="40" w:type="dxa"/>
              <w:right w:w="0" w:type="dxa"/>
            </w:tcMar>
            <w:hideMark/>
          </w:tcPr>
          <w:p w14:paraId="73EA8698" w14:textId="77777777" w:rsidR="00D246A9" w:rsidRDefault="00D246A9" w:rsidP="00C74F49">
            <w:pPr>
              <w:ind w:left="100"/>
              <w:rPr>
                <w:rFonts w:ascii="Arial" w:hAnsi="Arial" w:cs="Arial"/>
                <w:sz w:val="18"/>
                <w:szCs w:val="18"/>
              </w:rPr>
            </w:pPr>
            <w:r>
              <w:rPr>
                <w:rFonts w:ascii="Arial" w:hAnsi="Arial" w:cs="Arial"/>
                <w:sz w:val="18"/>
                <w:szCs w:val="18"/>
              </w:rPr>
              <w:t>Between August 9, 2024, and close of business on September 8, 2024, assuming we do not change the date of our 2024 meeting to be more than 30 days before or 60 days after the first anniversary date of our 2023 Annual Meeting</w:t>
            </w:r>
          </w:p>
        </w:tc>
      </w:tr>
    </w:tbl>
    <w:p w14:paraId="1CEFBC89" w14:textId="77777777" w:rsidR="001A7338" w:rsidRDefault="00D246A9" w:rsidP="001A7338">
      <w:pPr>
        <w:pStyle w:val="NormalWeb"/>
        <w:spacing w:before="240" w:beforeAutospacing="0" w:after="80" w:afterAutospacing="0"/>
        <w:rPr>
          <w:rFonts w:ascii="Arial" w:hAnsi="Arial" w:cs="Arial"/>
          <w:b/>
          <w:bCs/>
        </w:rPr>
      </w:pPr>
      <w:r>
        <w:rPr>
          <w:rFonts w:ascii="Arial" w:hAnsi="Arial" w:cs="Arial"/>
          <w:b/>
          <w:bCs/>
        </w:rPr>
        <w:t xml:space="preserve">Where to Submit </w:t>
      </w:r>
    </w:p>
    <w:p w14:paraId="7B766BD5" w14:textId="5D36DE01" w:rsidR="001A7338" w:rsidRDefault="001A7338" w:rsidP="001A7338">
      <w:pPr>
        <w:pStyle w:val="NormalWeb"/>
        <w:spacing w:before="240" w:beforeAutospacing="0" w:after="80" w:afterAutospacing="0"/>
        <w:rPr>
          <w:rFonts w:ascii="Arial" w:hAnsi="Arial" w:cs="Arial"/>
          <w:b/>
          <w:bCs/>
        </w:rPr>
      </w:pPr>
      <w:r>
        <w:rPr>
          <w:rFonts w:ascii="Arial" w:hAnsi="Arial" w:cs="Arial"/>
          <w:noProof/>
          <w:sz w:val="18"/>
          <w:szCs w:val="18"/>
        </w:rPr>
        <w:drawing>
          <wp:inline distT="0" distB="0" distL="0" distR="0" wp14:anchorId="6CBA2DC8" wp14:editId="7C28FFD2">
            <wp:extent cx="6854190" cy="699770"/>
            <wp:effectExtent l="0" t="0" r="3810" b="5080"/>
            <wp:docPr id="649138634" name="Picture 9" descr="You may submit questions to the board via email at askboard@microsoft.com or by mail at &#10;&#10;MSC 123/9999&#10;Office of the Corporate Secretary&#10;Microsoft Corporation&#10;One Microsoft Way&#10;Redmond, WA 98052-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38634" name="Picture 9" descr="You may submit questions to the board via email at askboard@microsoft.com or by mail at &#10;&#10;MSC 123/9999&#10;Office of the Corporate Secretary&#10;Microsoft Corporation&#10;One Microsoft Way&#10;Redmond, WA 98052-639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54190" cy="699770"/>
                    </a:xfrm>
                    <a:prstGeom prst="rect">
                      <a:avLst/>
                    </a:prstGeom>
                    <a:noFill/>
                    <a:ln>
                      <a:noFill/>
                    </a:ln>
                  </pic:spPr>
                </pic:pic>
              </a:graphicData>
            </a:graphic>
          </wp:inline>
        </w:drawing>
      </w:r>
    </w:p>
    <w:p w14:paraId="3E66DDE8" w14:textId="026518D6" w:rsidR="00D246A9" w:rsidRPr="00306F7C" w:rsidRDefault="00D246A9" w:rsidP="001A7338">
      <w:pPr>
        <w:pStyle w:val="NormalWeb"/>
        <w:spacing w:before="240" w:beforeAutospacing="0" w:after="80" w:afterAutospacing="0"/>
        <w:rPr>
          <w:rFonts w:ascii="Arial" w:hAnsi="Arial" w:cs="Arial"/>
          <w:sz w:val="18"/>
          <w:szCs w:val="18"/>
        </w:rPr>
      </w:pPr>
      <w:r>
        <w:rPr>
          <w:rFonts w:ascii="Arial" w:hAnsi="Arial" w:cs="Arial"/>
          <w:sz w:val="18"/>
          <w:szCs w:val="18"/>
        </w:rPr>
        <w:t xml:space="preserve">Shareholders who intend to solicit proxies in reliance on the SEC’s universal proxy rule for director nominees submitted under the advance notice requirements of our Bylaws must comply with the additional requirements of Rule 14a-19(b). We encourage shareholders who wish to submit a proposal or nomination to seek independent counsel. Microsoft will not consider any proposal or nomination that is not timely or otherwise does not meet the Bylaw and SEC requirements. We reserve the right to reject, rule out of order, or take other appropriate action with respect to any proposal that does not comply with these and other applicable requirements. </w:t>
      </w:r>
    </w:p>
    <w:p w14:paraId="0B5BD1FE" w14:textId="77777777" w:rsidR="00D246A9" w:rsidRDefault="00D246A9">
      <w:pPr>
        <w:pStyle w:val="rrdsinglerule"/>
        <w:pBdr>
          <w:top w:val="single" w:sz="6" w:space="0" w:color="0075C9"/>
        </w:pBdr>
        <w:spacing w:before="480"/>
        <w:rPr>
          <w:sz w:val="24"/>
          <w:szCs w:val="24"/>
        </w:rPr>
      </w:pPr>
      <w:r>
        <w:t> </w:t>
      </w:r>
    </w:p>
    <w:p w14:paraId="5C93C667" w14:textId="77777777" w:rsidR="00D246A9" w:rsidRDefault="00D246A9" w:rsidP="00B4165A">
      <w:pPr>
        <w:pStyle w:val="Heading3"/>
      </w:pPr>
      <w:bookmarkStart w:id="49" w:name="toc356108_50"/>
      <w:bookmarkEnd w:id="49"/>
      <w:r>
        <w:t xml:space="preserve">Other Business </w:t>
      </w:r>
    </w:p>
    <w:p w14:paraId="2C2F420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does not intend to bring any other business before the Annual Meeting, and so </w:t>
      </w:r>
      <w:proofErr w:type="gramStart"/>
      <w:r>
        <w:rPr>
          <w:rFonts w:ascii="Arial" w:hAnsi="Arial" w:cs="Arial"/>
          <w:sz w:val="18"/>
          <w:szCs w:val="18"/>
        </w:rPr>
        <w:t>far</w:t>
      </w:r>
      <w:proofErr w:type="gramEnd"/>
      <w:r>
        <w:rPr>
          <w:rFonts w:ascii="Arial" w:hAnsi="Arial" w:cs="Arial"/>
          <w:sz w:val="18"/>
          <w:szCs w:val="18"/>
        </w:rPr>
        <w:t xml:space="preserve"> </w:t>
      </w:r>
      <w:proofErr w:type="gramStart"/>
      <w:r>
        <w:rPr>
          <w:rFonts w:ascii="Arial" w:hAnsi="Arial" w:cs="Arial"/>
          <w:sz w:val="18"/>
          <w:szCs w:val="18"/>
        </w:rPr>
        <w:t>as</w:t>
      </w:r>
      <w:proofErr w:type="gramEnd"/>
      <w:r>
        <w:rPr>
          <w:rFonts w:ascii="Arial" w:hAnsi="Arial" w:cs="Arial"/>
          <w:sz w:val="18"/>
          <w:szCs w:val="18"/>
        </w:rPr>
        <w:t xml:space="preserve"> is known to our Board, no matters are to be brought before the meeting other than as specified in the notice of meeting. In addition to the scheduled items of business, the meeting may consider such other business as may properly come before the meeting or any adjournment or postponement thereof, including procedural matters and matters relating to the conduct of the meeting. If other business is properly brought before the meeting, the </w:t>
      </w:r>
      <w:proofErr w:type="gramStart"/>
      <w:r>
        <w:rPr>
          <w:rFonts w:ascii="Arial" w:hAnsi="Arial" w:cs="Arial"/>
          <w:sz w:val="18"/>
          <w:szCs w:val="18"/>
        </w:rPr>
        <w:t>persons</w:t>
      </w:r>
      <w:proofErr w:type="gramEnd"/>
      <w:r>
        <w:rPr>
          <w:rFonts w:ascii="Arial" w:hAnsi="Arial" w:cs="Arial"/>
          <w:sz w:val="18"/>
          <w:szCs w:val="18"/>
        </w:rPr>
        <w:t xml:space="preserve"> voting proxies will vote in accordance with their best judgment. </w:t>
      </w:r>
    </w:p>
    <w:p w14:paraId="2C059E0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Representatives of Deloitte &amp; Touche will attend the Annual Meeting, have an opportunity to make a statement if they desire to do so, and be available to respond to appropriate questions. </w:t>
      </w:r>
    </w:p>
    <w:p w14:paraId="6E8C39F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DATED: Redmond, Washington, October 19, 2023. </w:t>
      </w:r>
    </w:p>
    <w:p w14:paraId="770BB8A2" w14:textId="77777777" w:rsidR="00C74F49" w:rsidRDefault="00C74F49">
      <w:pPr>
        <w:pStyle w:val="NormalWeb"/>
        <w:spacing w:before="180" w:beforeAutospacing="0" w:after="0" w:afterAutospacing="0"/>
        <w:sectPr w:rsidR="00C74F49" w:rsidSect="008E77B3">
          <w:type w:val="continuous"/>
          <w:pgSz w:w="12240" w:h="15840"/>
          <w:pgMar w:top="720" w:right="720" w:bottom="720" w:left="720" w:header="720" w:footer="720" w:gutter="0"/>
          <w:pgNumType w:start="1"/>
          <w:cols w:space="720"/>
          <w:docGrid w:linePitch="326"/>
        </w:sectPr>
      </w:pPr>
    </w:p>
    <w:p w14:paraId="1497FD17" w14:textId="17B71970" w:rsidR="00D246A9" w:rsidRDefault="00D246A9">
      <w:pPr>
        <w:pStyle w:val="NormalWeb"/>
        <w:spacing w:before="180" w:beforeAutospacing="0" w:after="0" w:afterAutospacing="0"/>
        <w:rPr>
          <w:sz w:val="2"/>
          <w:szCs w:val="2"/>
        </w:rPr>
      </w:pPr>
      <w:r>
        <w:rPr>
          <w:sz w:val="2"/>
          <w:szCs w:val="2"/>
        </w:rPr>
        <w:lastRenderedPageBreak/>
        <w:t> </w:t>
      </w:r>
    </w:p>
    <w:p w14:paraId="25D51EB8" w14:textId="77777777" w:rsidR="00D246A9" w:rsidRDefault="00D246A9">
      <w:pPr>
        <w:pStyle w:val="NormalWeb"/>
        <w:spacing w:before="0" w:beforeAutospacing="0" w:after="0" w:afterAutospacing="0"/>
        <w:jc w:val="center"/>
        <w:rPr>
          <w:rFonts w:ascii="Arial" w:hAnsi="Arial" w:cs="Arial"/>
          <w:sz w:val="48"/>
          <w:szCs w:val="48"/>
        </w:rPr>
      </w:pPr>
      <w:r>
        <w:rPr>
          <w:rFonts w:ascii="Arial" w:hAnsi="Arial" w:cs="Arial"/>
          <w:b/>
          <w:bCs/>
          <w:color w:val="0075C9"/>
          <w:sz w:val="48"/>
          <w:szCs w:val="48"/>
        </w:rPr>
        <w:t xml:space="preserve">Microsoft Employee Giving </w:t>
      </w:r>
    </w:p>
    <w:p w14:paraId="7C0837A1" w14:textId="77777777" w:rsidR="00D246A9" w:rsidRDefault="00D246A9">
      <w:pPr>
        <w:pStyle w:val="NormalWeb"/>
        <w:spacing w:before="840" w:beforeAutospacing="0" w:after="0" w:afterAutospacing="0"/>
        <w:jc w:val="center"/>
        <w:rPr>
          <w:rFonts w:ascii="Arial" w:hAnsi="Arial" w:cs="Arial"/>
          <w:sz w:val="18"/>
          <w:szCs w:val="18"/>
        </w:rPr>
      </w:pPr>
      <w:r>
        <w:rPr>
          <w:rFonts w:ascii="Arial" w:hAnsi="Arial" w:cs="Arial"/>
          <w:sz w:val="18"/>
          <w:szCs w:val="18"/>
        </w:rPr>
        <w:t xml:space="preserve">Microsoft employees are passionate about giving time, money, and skills to address the issues facing our world. It’s part of our culture and how we live our mission – that’s why our employees have given </w:t>
      </w:r>
      <w:r>
        <w:rPr>
          <w:rFonts w:ascii="Arial" w:hAnsi="Arial" w:cs="Arial"/>
          <w:b/>
          <w:bCs/>
          <w:sz w:val="18"/>
          <w:szCs w:val="18"/>
        </w:rPr>
        <w:t>$242.5</w:t>
      </w:r>
      <w:r>
        <w:rPr>
          <w:rFonts w:ascii="Arial" w:hAnsi="Arial" w:cs="Arial"/>
          <w:sz w:val="18"/>
          <w:szCs w:val="18"/>
        </w:rPr>
        <w:t xml:space="preserve"> million with corporate match in fiscal year 2023 and a total of </w:t>
      </w:r>
      <w:r>
        <w:rPr>
          <w:rFonts w:ascii="Arial" w:hAnsi="Arial" w:cs="Arial"/>
          <w:b/>
          <w:bCs/>
          <w:sz w:val="18"/>
          <w:szCs w:val="18"/>
        </w:rPr>
        <w:t>$715.8</w:t>
      </w:r>
      <w:r>
        <w:rPr>
          <w:rFonts w:ascii="Arial" w:hAnsi="Arial" w:cs="Arial"/>
          <w:sz w:val="18"/>
          <w:szCs w:val="18"/>
        </w:rPr>
        <w:t xml:space="preserve"> million with corporate match over the past three fiscal years. </w:t>
      </w:r>
    </w:p>
    <w:p w14:paraId="624B23EE" w14:textId="77777777" w:rsidR="00D246A9" w:rsidRDefault="00D246A9">
      <w:pPr>
        <w:pStyle w:val="NormalWeb"/>
        <w:keepNext/>
        <w:spacing w:before="0" w:beforeAutospacing="0" w:after="0" w:afterAutospacing="0"/>
        <w:rPr>
          <w:sz w:val="48"/>
          <w:szCs w:val="48"/>
        </w:rPr>
      </w:pPr>
      <w:r>
        <w:rPr>
          <w:sz w:val="48"/>
          <w:szCs w:val="48"/>
        </w:rPr>
        <w:t> </w:t>
      </w:r>
    </w:p>
    <w:p w14:paraId="77AE58D2" w14:textId="77777777" w:rsidR="00D246A9" w:rsidRDefault="00D246A9">
      <w:pPr>
        <w:pStyle w:val="NormalWeb"/>
        <w:keepNext/>
        <w:spacing w:before="0" w:beforeAutospacing="0" w:after="0" w:afterAutospacing="0"/>
        <w:rPr>
          <w:sz w:val="2"/>
          <w:szCs w:val="2"/>
        </w:rPr>
      </w:pPr>
      <w:r>
        <w:rPr>
          <w:sz w:val="2"/>
          <w:szCs w:val="2"/>
        </w:rPr>
        <w:t> </w:t>
      </w:r>
    </w:p>
    <w:p w14:paraId="769257B0" w14:textId="186BBA87" w:rsidR="00D246A9" w:rsidRDefault="004035F7">
      <w:pPr>
        <w:pStyle w:val="NormalWeb"/>
        <w:spacing w:before="0" w:beforeAutospacing="0" w:after="0" w:afterAutospacing="0"/>
        <w:jc w:val="center"/>
      </w:pPr>
      <w:r>
        <w:rPr>
          <w:noProof/>
        </w:rPr>
        <w:drawing>
          <wp:inline distT="0" distB="0" distL="0" distR="0" wp14:anchorId="2B2A83F9" wp14:editId="39C1C642">
            <wp:extent cx="3840480" cy="3763798"/>
            <wp:effectExtent l="0" t="0" r="7620" b="8255"/>
            <wp:docPr id="994211454"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11454" name="Picture 28">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40480" cy="3763798"/>
                    </a:xfrm>
                    <a:prstGeom prst="rect">
                      <a:avLst/>
                    </a:prstGeom>
                    <a:noFill/>
                    <a:ln>
                      <a:noFill/>
                    </a:ln>
                  </pic:spPr>
                </pic:pic>
              </a:graphicData>
            </a:graphic>
          </wp:inline>
        </w:drawing>
      </w:r>
    </w:p>
    <w:p w14:paraId="673AEE40" w14:textId="77777777" w:rsidR="00D246A9" w:rsidRDefault="00D246A9">
      <w:pPr>
        <w:pStyle w:val="NormalWeb"/>
        <w:spacing w:before="480" w:beforeAutospacing="0" w:after="0" w:afterAutospacing="0"/>
        <w:rPr>
          <w:rFonts w:ascii="Arial" w:hAnsi="Arial" w:cs="Arial"/>
          <w:sz w:val="28"/>
          <w:szCs w:val="28"/>
        </w:rPr>
      </w:pPr>
      <w:proofErr w:type="gramStart"/>
      <w:r>
        <w:rPr>
          <w:rFonts w:ascii="Arial" w:hAnsi="Arial" w:cs="Arial"/>
          <w:b/>
          <w:bCs/>
          <w:color w:val="0075C9"/>
          <w:sz w:val="28"/>
          <w:szCs w:val="28"/>
        </w:rPr>
        <w:t>Drive</w:t>
      </w:r>
      <w:proofErr w:type="gramEnd"/>
      <w:r>
        <w:rPr>
          <w:rFonts w:ascii="Arial" w:hAnsi="Arial" w:cs="Arial"/>
          <w:b/>
          <w:bCs/>
          <w:color w:val="0075C9"/>
          <w:sz w:val="28"/>
          <w:szCs w:val="28"/>
        </w:rPr>
        <w:t xml:space="preserve"> More Impact with Nonprofit Offers from Microsoft </w:t>
      </w:r>
    </w:p>
    <w:p w14:paraId="56A1A4CF" w14:textId="6AC03029" w:rsidR="00DE2BC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We’re committed to delivering relevant, affordable, and innovative cloud solutions to help nonprofits tackle the world’s biggest challenges. Get grants and discounts across our cloud products including Azure, Dynamics 365, and Microsoft 365, as well as for industry-specific solutions like Fundraising and Engagement. Get started at </w:t>
      </w:r>
      <w:r>
        <w:rPr>
          <w:rFonts w:ascii="Arial" w:hAnsi="Arial" w:cs="Arial"/>
          <w:sz w:val="18"/>
          <w:szCs w:val="18"/>
          <w:u w:val="single"/>
        </w:rPr>
        <w:t>microsoft.com/nonprofits</w:t>
      </w:r>
      <w:r>
        <w:rPr>
          <w:rFonts w:ascii="Arial" w:hAnsi="Arial" w:cs="Arial"/>
          <w:sz w:val="18"/>
          <w:szCs w:val="18"/>
        </w:rPr>
        <w:t xml:space="preserve">. </w:t>
      </w:r>
    </w:p>
    <w:p w14:paraId="0231ADFE" w14:textId="4414BDBF" w:rsidR="00DE2BC9" w:rsidRDefault="004035F7">
      <w:pPr>
        <w:pStyle w:val="NormalWeb"/>
        <w:spacing w:before="120" w:beforeAutospacing="0" w:after="0" w:afterAutospacing="0"/>
        <w:rPr>
          <w:rFonts w:ascii="Arial" w:hAnsi="Arial" w:cs="Arial"/>
          <w:sz w:val="18"/>
          <w:szCs w:val="18"/>
        </w:rPr>
      </w:pPr>
      <w:r>
        <w:rPr>
          <w:rFonts w:ascii="Arial" w:hAnsi="Arial" w:cs="Arial"/>
          <w:noProof/>
          <w:sz w:val="18"/>
          <w:szCs w:val="18"/>
        </w:rPr>
        <w:drawing>
          <wp:inline distT="0" distB="0" distL="0" distR="0" wp14:anchorId="78ED0F1F" wp14:editId="59EB7C72">
            <wp:extent cx="6854190" cy="1002030"/>
            <wp:effectExtent l="0" t="0" r="3810" b="7620"/>
            <wp:docPr id="17500076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0769" name="Picture 29">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4190" cy="1002030"/>
                    </a:xfrm>
                    <a:prstGeom prst="rect">
                      <a:avLst/>
                    </a:prstGeom>
                    <a:noFill/>
                    <a:ln>
                      <a:noFill/>
                    </a:ln>
                  </pic:spPr>
                </pic:pic>
              </a:graphicData>
            </a:graphic>
          </wp:inline>
        </w:drawing>
      </w:r>
    </w:p>
    <w:p w14:paraId="7DB651E7" w14:textId="081E4574" w:rsidR="00363E90" w:rsidRPr="00B4165A" w:rsidRDefault="00D246A9" w:rsidP="00B4165A">
      <w:pPr>
        <w:pStyle w:val="NormalWeb"/>
        <w:spacing w:before="0" w:beforeAutospacing="0" w:after="0" w:afterAutospacing="0"/>
        <w:jc w:val="center"/>
        <w:rPr>
          <w:rFonts w:ascii="Arial" w:hAnsi="Arial" w:cs="Arial"/>
          <w:sz w:val="2"/>
          <w:szCs w:val="2"/>
        </w:rPr>
      </w:pPr>
      <w:r>
        <w:rPr>
          <w:rFonts w:ascii="Arial" w:hAnsi="Arial" w:cs="Arial"/>
          <w:color w:val="FFFFFF"/>
          <w:sz w:val="2"/>
          <w:szCs w:val="2"/>
        </w:rPr>
        <w:t xml:space="preserve"> </w:t>
      </w:r>
    </w:p>
    <w:sectPr w:rsidR="00363E90" w:rsidRPr="00B4165A" w:rsidSect="00647B28">
      <w:headerReference w:type="default" r:id="rId80"/>
      <w:footerReference w:type="default" r:id="rId81"/>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5CC87" w14:textId="77777777" w:rsidR="003733E5" w:rsidRDefault="003733E5">
      <w:r>
        <w:separator/>
      </w:r>
    </w:p>
  </w:endnote>
  <w:endnote w:type="continuationSeparator" w:id="0">
    <w:p w14:paraId="72B956E8" w14:textId="77777777" w:rsidR="003733E5" w:rsidRDefault="00373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249EA" w14:textId="77777777" w:rsidR="00DE2BC9" w:rsidRDefault="00DE2B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6A758A" w14:textId="77777777" w:rsidR="00DE2BC9" w:rsidRDefault="00DE2B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7052" w14:textId="7917BA3E" w:rsidR="00DE2BC9" w:rsidRPr="00306F7C" w:rsidRDefault="00DE2BC9" w:rsidP="00306F7C">
    <w:pPr>
      <w:pStyle w:val="Footer"/>
      <w:spacing w:before="120"/>
      <w:jc w:val="center"/>
      <w:rPr>
        <w:rFonts w:ascii="Arial" w:hAnsi="Arial"/>
        <w:sz w:val="20"/>
      </w:rPr>
    </w:pPr>
    <w:r w:rsidRPr="00306F7C">
      <w:rPr>
        <w:rFonts w:ascii="Arial" w:hAnsi="Arial"/>
        <w:sz w:val="20"/>
      </w:rPr>
      <w:fldChar w:fldCharType="begin"/>
    </w:r>
    <w:r w:rsidRPr="00306F7C">
      <w:rPr>
        <w:rFonts w:ascii="Arial" w:hAnsi="Arial"/>
        <w:sz w:val="20"/>
      </w:rPr>
      <w:instrText xml:space="preserve"> PAGE   \* MERGEFORMAT </w:instrText>
    </w:r>
    <w:r w:rsidRPr="00306F7C">
      <w:rPr>
        <w:rFonts w:ascii="Arial" w:hAnsi="Arial"/>
        <w:sz w:val="20"/>
      </w:rPr>
      <w:fldChar w:fldCharType="separate"/>
    </w:r>
    <w:r w:rsidR="006F4C49">
      <w:rPr>
        <w:rFonts w:ascii="Arial" w:hAnsi="Arial"/>
        <w:noProof/>
        <w:sz w:val="20"/>
      </w:rPr>
      <w:t>1</w:t>
    </w:r>
    <w:r w:rsidRPr="00306F7C">
      <w:rPr>
        <w:rFonts w:ascii="Arial" w:hAnsi="Arial"/>
        <w:noProof/>
        <w:sz w:val="20"/>
      </w:rPr>
      <w:fldChar w:fldCharType="end"/>
    </w:r>
  </w:p>
  <w:p w14:paraId="6BE9AA60" w14:textId="77777777" w:rsidR="00630DDE" w:rsidRDefault="00630DD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BC74D" w14:textId="61997DA8" w:rsidR="00DE2BC9" w:rsidRPr="00C74F49" w:rsidRDefault="00DE2BC9" w:rsidP="00C74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083DB" w14:textId="77777777" w:rsidR="003733E5" w:rsidRDefault="003733E5">
      <w:r>
        <w:separator/>
      </w:r>
    </w:p>
  </w:footnote>
  <w:footnote w:type="continuationSeparator" w:id="0">
    <w:p w14:paraId="2F955903" w14:textId="77777777" w:rsidR="003733E5" w:rsidRDefault="003733E5">
      <w:r>
        <w:continuationSeparator/>
      </w:r>
    </w:p>
  </w:footnote>
  <w:footnote w:id="1">
    <w:p w14:paraId="7B107D50" w14:textId="77777777" w:rsidR="00E617E2" w:rsidRPr="005411B3" w:rsidRDefault="00E617E2" w:rsidP="00E617E2">
      <w:pPr>
        <w:pStyle w:val="FootnoteText"/>
        <w:ind w:left="144" w:hanging="144"/>
        <w:rPr>
          <w:rFonts w:ascii="Arial" w:hAnsi="Arial" w:cs="Arial"/>
          <w:sz w:val="18"/>
          <w:szCs w:val="18"/>
        </w:rPr>
      </w:pPr>
      <w:r w:rsidRPr="005411B3">
        <w:rPr>
          <w:rStyle w:val="FootnoteReference"/>
          <w:rFonts w:ascii="Arial" w:hAnsi="Arial" w:cs="Arial"/>
          <w:sz w:val="18"/>
          <w:szCs w:val="18"/>
        </w:rPr>
        <w:footnoteRef/>
      </w:r>
      <w:r w:rsidRPr="005411B3">
        <w:rPr>
          <w:rFonts w:ascii="Arial" w:hAnsi="Arial" w:cs="Arial"/>
          <w:sz w:val="18"/>
          <w:szCs w:val="18"/>
        </w:rPr>
        <w:t xml:space="preserve"> Hill, Bailee. "Company offers 'baby bonus' for employees in effort to combat 'anti-family' push towards abortion," FoxNews.com, June 18, 2023. See </w:t>
      </w:r>
      <w:r w:rsidRPr="005411B3">
        <w:rPr>
          <w:rFonts w:ascii="Arial" w:hAnsi="Arial" w:cs="Arial"/>
          <w:sz w:val="18"/>
          <w:szCs w:val="18"/>
          <w:u w:val="single" w:color="000000"/>
        </w:rPr>
        <w:t>https://www.foxnews.com/media/company-offers-baby-bonusemployees-effort-combat-anti-family-push-towards-abortion</w:t>
      </w:r>
      <w:r w:rsidRPr="005411B3">
        <w:rPr>
          <w:rFonts w:ascii="Arial" w:hAnsi="Arial" w:cs="Arial"/>
          <w:sz w:val="18"/>
          <w:szCs w:val="18"/>
        </w:rPr>
        <w:t>.</w:t>
      </w:r>
    </w:p>
  </w:footnote>
  <w:footnote w:id="2">
    <w:p w14:paraId="42A46A9C" w14:textId="77777777" w:rsidR="00E617E2" w:rsidRPr="005411B3" w:rsidRDefault="00E617E2" w:rsidP="00E617E2">
      <w:pPr>
        <w:pStyle w:val="FootnoteText"/>
        <w:ind w:left="144" w:hanging="144"/>
        <w:rPr>
          <w:rFonts w:ascii="Arial" w:hAnsi="Arial" w:cs="Arial"/>
          <w:sz w:val="18"/>
          <w:szCs w:val="18"/>
        </w:rPr>
      </w:pPr>
      <w:r w:rsidRPr="005411B3">
        <w:rPr>
          <w:rStyle w:val="FootnoteReference"/>
          <w:rFonts w:ascii="Arial" w:hAnsi="Arial" w:cs="Arial"/>
          <w:sz w:val="18"/>
          <w:szCs w:val="18"/>
        </w:rPr>
        <w:footnoteRef/>
      </w:r>
      <w:r w:rsidRPr="005411B3">
        <w:rPr>
          <w:rFonts w:ascii="Arial" w:hAnsi="Arial" w:cs="Arial"/>
          <w:sz w:val="18"/>
          <w:szCs w:val="18"/>
        </w:rPr>
        <w:t xml:space="preserve"> Whitney-Morris, Candace. “The rainbow ripple effect: how Microsoft and its LGBTQ+ employees push for change across borders,” Microsoft.com, June 1, 2018. See </w:t>
      </w:r>
      <w:hyperlink r:id="rId1" w:history="1">
        <w:r w:rsidRPr="005411B3">
          <w:rPr>
            <w:rStyle w:val="Hyperlink"/>
            <w:rFonts w:ascii="Arial" w:hAnsi="Arial" w:cs="Arial"/>
            <w:color w:val="auto"/>
            <w:sz w:val="18"/>
            <w:szCs w:val="18"/>
          </w:rPr>
          <w:t>https://news.microsoft.com/life/pride</w:t>
        </w:r>
      </w:hyperlink>
      <w:r w:rsidRPr="005411B3">
        <w:rPr>
          <w:rFonts w:ascii="Arial" w:hAnsi="Arial" w:cs="Arial"/>
          <w:sz w:val="18"/>
          <w:szCs w:val="18"/>
        </w:rPr>
        <w:t>.</w:t>
      </w:r>
    </w:p>
  </w:footnote>
  <w:footnote w:id="3">
    <w:p w14:paraId="389AC8F3" w14:textId="77777777" w:rsidR="00E617E2" w:rsidRPr="005411B3" w:rsidRDefault="00E617E2" w:rsidP="00E617E2">
      <w:pPr>
        <w:pStyle w:val="FootnoteText"/>
        <w:ind w:left="144" w:hanging="144"/>
        <w:rPr>
          <w:rFonts w:ascii="Arial" w:hAnsi="Arial" w:cs="Arial"/>
          <w:sz w:val="18"/>
          <w:szCs w:val="18"/>
        </w:rPr>
      </w:pPr>
      <w:r w:rsidRPr="005411B3">
        <w:rPr>
          <w:rStyle w:val="FootnoteReference"/>
          <w:rFonts w:ascii="Arial" w:hAnsi="Arial" w:cs="Arial"/>
          <w:sz w:val="18"/>
          <w:szCs w:val="18"/>
        </w:rPr>
        <w:footnoteRef/>
      </w:r>
      <w:r w:rsidRPr="005411B3">
        <w:rPr>
          <w:rFonts w:ascii="Arial" w:hAnsi="Arial" w:cs="Arial"/>
          <w:sz w:val="18"/>
          <w:szCs w:val="18"/>
        </w:rPr>
        <w:t xml:space="preserve"> Bolar, Kelsey. "'Detransitioners' Are Being Abandoned By Medical Professionals Who Devastated Their Bodies And Minds," The Federalist, Feb. 10, 2023. See </w:t>
      </w:r>
      <w:r w:rsidRPr="005411B3">
        <w:rPr>
          <w:rFonts w:ascii="Arial" w:hAnsi="Arial" w:cs="Arial"/>
          <w:sz w:val="18"/>
          <w:szCs w:val="18"/>
          <w:u w:val="single" w:color="000000"/>
        </w:rPr>
        <w:t>https://thefederalist.com/2023/02/10/detransitioners-are-beingabandoned-by-medical-professionals-who-devastated-their-bodies-and-minds/</w:t>
      </w:r>
      <w:r w:rsidRPr="005411B3">
        <w:rPr>
          <w:rFonts w:ascii="Arial" w:hAnsi="Arial" w:cs="Arial"/>
          <w:sz w:val="18"/>
          <w:szCs w:val="18"/>
        </w:rPr>
        <w:t>.</w:t>
      </w:r>
    </w:p>
  </w:footnote>
  <w:footnote w:id="4">
    <w:p w14:paraId="251BE9CC" w14:textId="77777777" w:rsidR="00E617E2" w:rsidRDefault="00E617E2" w:rsidP="00E617E2">
      <w:pPr>
        <w:pStyle w:val="FootnoteText"/>
        <w:ind w:left="144" w:hanging="144"/>
      </w:pPr>
      <w:r w:rsidRPr="005411B3">
        <w:rPr>
          <w:rStyle w:val="FootnoteReference"/>
          <w:rFonts w:ascii="Arial" w:hAnsi="Arial" w:cs="Arial"/>
          <w:sz w:val="18"/>
          <w:szCs w:val="18"/>
        </w:rPr>
        <w:footnoteRef/>
      </w:r>
      <w:r w:rsidRPr="005411B3">
        <w:rPr>
          <w:rFonts w:ascii="Arial" w:hAnsi="Arial" w:cs="Arial"/>
          <w:sz w:val="18"/>
          <w:szCs w:val="18"/>
        </w:rPr>
        <w:t xml:space="preserve"> Shellenberger, Michael. "Why This Detransitioner Is Suing Her Health Care Providers," Public.substack.com, March 22, 2023. See </w:t>
      </w:r>
      <w:r w:rsidRPr="005411B3">
        <w:rPr>
          <w:rFonts w:ascii="Arial" w:hAnsi="Arial" w:cs="Arial"/>
          <w:sz w:val="18"/>
          <w:szCs w:val="18"/>
          <w:u w:val="single" w:color="000000"/>
        </w:rPr>
        <w:t>https://public.substack.com/p/why-this-detransitioner-is-suing</w:t>
      </w:r>
      <w:r w:rsidRPr="005411B3">
        <w:rPr>
          <w:rFonts w:ascii="Arial" w:hAnsi="Arial" w:cs="Arial"/>
          <w:sz w:val="18"/>
          <w:szCs w:val="18"/>
        </w:rPr>
        <w:t>.</w:t>
      </w:r>
    </w:p>
  </w:footnote>
  <w:footnote w:id="5">
    <w:p w14:paraId="3AE4F094" w14:textId="77777777" w:rsidR="00E617E2" w:rsidRPr="005411B3" w:rsidRDefault="00E617E2" w:rsidP="00E617E2">
      <w:pPr>
        <w:pStyle w:val="footnotedescription"/>
        <w:spacing w:line="265" w:lineRule="auto"/>
        <w:ind w:left="144" w:right="14" w:hanging="144"/>
        <w:rPr>
          <w:rFonts w:ascii="Arial" w:hAnsi="Arial" w:cs="Arial"/>
          <w:color w:val="auto"/>
          <w:sz w:val="18"/>
          <w:szCs w:val="18"/>
        </w:rPr>
      </w:pPr>
      <w:r w:rsidRPr="005411B3">
        <w:rPr>
          <w:rStyle w:val="footnotemark"/>
          <w:rFonts w:ascii="Arial" w:hAnsi="Arial" w:cs="Arial"/>
          <w:color w:val="auto"/>
          <w:sz w:val="18"/>
          <w:szCs w:val="18"/>
        </w:rPr>
        <w:footnoteRef/>
      </w:r>
      <w:r w:rsidRPr="005411B3">
        <w:rPr>
          <w:rFonts w:ascii="Arial" w:hAnsi="Arial" w:cs="Arial"/>
          <w:color w:val="auto"/>
          <w:sz w:val="18"/>
          <w:szCs w:val="18"/>
        </w:rPr>
        <w:t xml:space="preserve"> </w:t>
      </w:r>
      <w:hyperlink r:id="rId2" w:history="1">
        <w:r w:rsidRPr="005411B3">
          <w:rPr>
            <w:rStyle w:val="Hyperlink"/>
            <w:rFonts w:ascii="Arial" w:hAnsi="Arial" w:cs="Arial"/>
            <w:color w:val="auto"/>
            <w:sz w:val="18"/>
            <w:szCs w:val="18"/>
          </w:rPr>
          <w:t xml:space="preserve">https://judiciary.house.gov/sites/evo-subsites/republicans-judiciary.house.gov/files/legacy_files/wpcontent/uploads/2021/06/JDJ-to-Microsoft-6.21.2020.pdf   </w:t>
        </w:r>
      </w:hyperlink>
    </w:p>
  </w:footnote>
  <w:footnote w:id="6">
    <w:p w14:paraId="7BEE43D1" w14:textId="77777777" w:rsidR="00E617E2" w:rsidRDefault="00E617E2" w:rsidP="00E617E2">
      <w:pPr>
        <w:pStyle w:val="footnotedescription"/>
        <w:spacing w:line="297" w:lineRule="auto"/>
        <w:ind w:left="144" w:right="14" w:hanging="144"/>
      </w:pPr>
      <w:r w:rsidRPr="005411B3">
        <w:rPr>
          <w:rStyle w:val="footnotemark"/>
          <w:rFonts w:ascii="Arial" w:hAnsi="Arial" w:cs="Arial"/>
          <w:color w:val="auto"/>
          <w:sz w:val="18"/>
          <w:szCs w:val="18"/>
        </w:rPr>
        <w:footnoteRef/>
      </w:r>
      <w:r w:rsidRPr="005411B3">
        <w:rPr>
          <w:rFonts w:ascii="Arial" w:hAnsi="Arial" w:cs="Arial"/>
          <w:color w:val="auto"/>
          <w:sz w:val="18"/>
          <w:szCs w:val="18"/>
        </w:rPr>
        <w:t xml:space="preserve"> </w:t>
      </w:r>
      <w:r w:rsidRPr="005411B3">
        <w:rPr>
          <w:rStyle w:val="Hyperlink"/>
          <w:rFonts w:ascii="Arial" w:hAnsi="Arial" w:cs="Arial"/>
          <w:color w:val="auto"/>
          <w:sz w:val="18"/>
          <w:szCs w:val="18"/>
        </w:rPr>
        <w:t xml:space="preserve">https://judiciary.house.gov/sites/evo-subsites/republicans-judiciary.house.gov/files/legacy_files/wpcontent/uploads/2021/06/JDJ-to-Microsoft-6.21.2020.pdf  </w:t>
      </w:r>
    </w:p>
  </w:footnote>
  <w:footnote w:id="7">
    <w:p w14:paraId="7EAC91E6" w14:textId="77777777" w:rsidR="00E617E2" w:rsidRPr="005411B3" w:rsidRDefault="00E617E2" w:rsidP="00E617E2">
      <w:pPr>
        <w:pStyle w:val="footnotedescription"/>
        <w:spacing w:after="11" w:line="244" w:lineRule="auto"/>
        <w:ind w:left="144" w:right="14" w:hanging="144"/>
        <w:rPr>
          <w:rFonts w:ascii="Arial" w:hAnsi="Arial" w:cs="Arial"/>
          <w:color w:val="auto"/>
          <w:sz w:val="18"/>
          <w:szCs w:val="18"/>
        </w:rPr>
      </w:pPr>
      <w:r w:rsidRPr="005411B3">
        <w:rPr>
          <w:rStyle w:val="footnotemark"/>
          <w:rFonts w:ascii="Arial" w:hAnsi="Arial" w:cs="Arial"/>
          <w:color w:val="auto"/>
          <w:sz w:val="18"/>
          <w:szCs w:val="18"/>
        </w:rPr>
        <w:footnoteRef/>
      </w:r>
      <w:r w:rsidRPr="005411B3">
        <w:rPr>
          <w:rFonts w:ascii="Arial" w:hAnsi="Arial" w:cs="Arial"/>
          <w:color w:val="auto"/>
          <w:sz w:val="18"/>
          <w:szCs w:val="18"/>
        </w:rPr>
        <w:t xml:space="preserve"> </w:t>
      </w:r>
      <w:hyperlink r:id="rId3" w:history="1">
        <w:r w:rsidRPr="005411B3">
          <w:rPr>
            <w:rStyle w:val="Hyperlink"/>
            <w:rFonts w:ascii="Arial" w:hAnsi="Arial" w:cs="Arial"/>
            <w:color w:val="auto"/>
            <w:sz w:val="18"/>
            <w:szCs w:val="18"/>
          </w:rPr>
          <w:t>https://ago.mo.gov/home/news/2023/03/06/missouri-attorney-general-andrew-bailey-asks-court-to-block-biden-from-violating-americans-1st-amendment-rights-citing-1-400-facts</w:t>
        </w:r>
      </w:hyperlink>
    </w:p>
  </w:footnote>
  <w:footnote w:id="8">
    <w:p w14:paraId="3D6610D4" w14:textId="77777777" w:rsidR="00E617E2" w:rsidRPr="005411B3" w:rsidRDefault="00E617E2" w:rsidP="00E617E2">
      <w:pPr>
        <w:pStyle w:val="footnotedescription"/>
        <w:spacing w:after="9" w:line="245" w:lineRule="auto"/>
        <w:ind w:left="144" w:right="14" w:hanging="144"/>
        <w:rPr>
          <w:rFonts w:ascii="Arial" w:hAnsi="Arial" w:cs="Arial"/>
          <w:color w:val="auto"/>
          <w:sz w:val="18"/>
          <w:szCs w:val="18"/>
        </w:rPr>
      </w:pPr>
      <w:r w:rsidRPr="005411B3">
        <w:rPr>
          <w:rStyle w:val="footnotemark"/>
          <w:rFonts w:ascii="Arial" w:hAnsi="Arial" w:cs="Arial"/>
          <w:color w:val="auto"/>
          <w:sz w:val="18"/>
          <w:szCs w:val="18"/>
        </w:rPr>
        <w:footnoteRef/>
      </w:r>
      <w:r w:rsidRPr="005411B3">
        <w:rPr>
          <w:rFonts w:ascii="Arial" w:hAnsi="Arial" w:cs="Arial"/>
          <w:color w:val="auto"/>
          <w:sz w:val="18"/>
          <w:szCs w:val="18"/>
        </w:rPr>
        <w:t xml:space="preserve"> </w:t>
      </w:r>
      <w:hyperlink r:id="rId4" w:history="1">
        <w:r w:rsidRPr="005411B3">
          <w:rPr>
            <w:rStyle w:val="Hyperlink"/>
            <w:rFonts w:ascii="Arial" w:hAnsi="Arial" w:cs="Arial"/>
            <w:color w:val="auto"/>
            <w:sz w:val="18"/>
            <w:szCs w:val="18"/>
          </w:rPr>
          <w:t xml:space="preserve">https://www.lifesitenews.com/news/linkedin-reinstates-mrna-inventors-account-after-deleting-it-for-spreading-misinformation/ </w:t>
        </w:r>
      </w:hyperlink>
    </w:p>
  </w:footnote>
  <w:footnote w:id="9">
    <w:p w14:paraId="0FA05AA1" w14:textId="77777777" w:rsidR="00E617E2" w:rsidRDefault="00E617E2" w:rsidP="00E617E2">
      <w:pPr>
        <w:pStyle w:val="footnotedescription"/>
        <w:spacing w:after="0" w:line="259" w:lineRule="auto"/>
        <w:ind w:left="144" w:right="14" w:hanging="144"/>
        <w:jc w:val="both"/>
      </w:pPr>
      <w:r w:rsidRPr="005411B3">
        <w:rPr>
          <w:rStyle w:val="footnotemark"/>
          <w:rFonts w:ascii="Arial" w:hAnsi="Arial" w:cs="Arial"/>
          <w:color w:val="auto"/>
          <w:sz w:val="18"/>
          <w:szCs w:val="18"/>
        </w:rPr>
        <w:footnoteRef/>
      </w:r>
      <w:r w:rsidRPr="005411B3">
        <w:rPr>
          <w:rFonts w:ascii="Arial" w:hAnsi="Arial" w:cs="Arial"/>
          <w:color w:val="auto"/>
          <w:sz w:val="18"/>
          <w:szCs w:val="18"/>
        </w:rPr>
        <w:t xml:space="preserve"> </w:t>
      </w:r>
      <w:r w:rsidRPr="005411B3">
        <w:rPr>
          <w:rFonts w:ascii="Arial" w:hAnsi="Arial" w:cs="Arial"/>
          <w:color w:val="auto"/>
          <w:sz w:val="18"/>
          <w:szCs w:val="18"/>
          <w:u w:val="single"/>
        </w:rPr>
        <w:t>https://www.foxnews.com/media/vivek</w:t>
      </w:r>
      <w:hyperlink r:id="rId5">
        <w:r w:rsidRPr="005411B3">
          <w:rPr>
            <w:rFonts w:ascii="Arial" w:hAnsi="Arial" w:cs="Arial"/>
            <w:color w:val="auto"/>
            <w:sz w:val="18"/>
            <w:szCs w:val="18"/>
            <w:u w:val="single"/>
          </w:rPr>
          <w:t>-</w:t>
        </w:r>
      </w:hyperlink>
      <w:hyperlink r:id="rId6">
        <w:r w:rsidRPr="005411B3">
          <w:rPr>
            <w:rFonts w:ascii="Arial" w:hAnsi="Arial" w:cs="Arial"/>
            <w:color w:val="auto"/>
            <w:sz w:val="18"/>
            <w:szCs w:val="18"/>
            <w:u w:val="single"/>
          </w:rPr>
          <w:t>ramaswamy</w:t>
        </w:r>
      </w:hyperlink>
      <w:hyperlink r:id="rId7">
        <w:r w:rsidRPr="005411B3">
          <w:rPr>
            <w:rFonts w:ascii="Arial" w:hAnsi="Arial" w:cs="Arial"/>
            <w:color w:val="auto"/>
            <w:sz w:val="18"/>
            <w:szCs w:val="18"/>
            <w:u w:val="single"/>
          </w:rPr>
          <w:t>-</w:t>
        </w:r>
      </w:hyperlink>
      <w:hyperlink r:id="rId8">
        <w:r w:rsidRPr="005411B3">
          <w:rPr>
            <w:rFonts w:ascii="Arial" w:hAnsi="Arial" w:cs="Arial"/>
            <w:color w:val="auto"/>
            <w:sz w:val="18"/>
            <w:szCs w:val="18"/>
            <w:u w:val="single"/>
          </w:rPr>
          <w:t>pans</w:t>
        </w:r>
      </w:hyperlink>
      <w:hyperlink r:id="rId9">
        <w:r w:rsidRPr="005411B3">
          <w:rPr>
            <w:rFonts w:ascii="Arial" w:hAnsi="Arial" w:cs="Arial"/>
            <w:color w:val="auto"/>
            <w:sz w:val="18"/>
            <w:szCs w:val="18"/>
            <w:u w:val="single"/>
          </w:rPr>
          <w:t>-</w:t>
        </w:r>
      </w:hyperlink>
      <w:hyperlink r:id="rId10">
        <w:r w:rsidRPr="005411B3">
          <w:rPr>
            <w:rFonts w:ascii="Arial" w:hAnsi="Arial" w:cs="Arial"/>
            <w:color w:val="auto"/>
            <w:sz w:val="18"/>
            <w:szCs w:val="18"/>
            <w:u w:val="single"/>
          </w:rPr>
          <w:t>linkedins</w:t>
        </w:r>
      </w:hyperlink>
      <w:hyperlink r:id="rId11">
        <w:r w:rsidRPr="005411B3">
          <w:rPr>
            <w:rFonts w:ascii="Arial" w:hAnsi="Arial" w:cs="Arial"/>
            <w:color w:val="auto"/>
            <w:sz w:val="18"/>
            <w:szCs w:val="18"/>
            <w:u w:val="single"/>
          </w:rPr>
          <w:t>-</w:t>
        </w:r>
      </w:hyperlink>
      <w:hyperlink r:id="rId12">
        <w:r w:rsidRPr="005411B3">
          <w:rPr>
            <w:rFonts w:ascii="Arial" w:hAnsi="Arial" w:cs="Arial"/>
            <w:color w:val="auto"/>
            <w:sz w:val="18"/>
            <w:szCs w:val="18"/>
            <w:u w:val="single"/>
          </w:rPr>
          <w:t>claim</w:t>
        </w:r>
      </w:hyperlink>
      <w:hyperlink r:id="rId13">
        <w:r w:rsidRPr="005411B3">
          <w:rPr>
            <w:rFonts w:ascii="Arial" w:hAnsi="Arial" w:cs="Arial"/>
            <w:color w:val="auto"/>
            <w:sz w:val="18"/>
            <w:szCs w:val="18"/>
            <w:u w:val="single"/>
          </w:rPr>
          <w:t>-</w:t>
        </w:r>
      </w:hyperlink>
      <w:hyperlink r:id="rId14">
        <w:r w:rsidRPr="005411B3">
          <w:rPr>
            <w:rFonts w:ascii="Arial" w:hAnsi="Arial" w:cs="Arial"/>
            <w:color w:val="auto"/>
            <w:sz w:val="18"/>
            <w:szCs w:val="18"/>
            <w:u w:val="single"/>
          </w:rPr>
          <w:t>account</w:t>
        </w:r>
      </w:hyperlink>
      <w:hyperlink r:id="rId15">
        <w:r w:rsidRPr="005411B3">
          <w:rPr>
            <w:rFonts w:ascii="Arial" w:hAnsi="Arial" w:cs="Arial"/>
            <w:color w:val="auto"/>
            <w:sz w:val="18"/>
            <w:szCs w:val="18"/>
            <w:u w:val="single"/>
          </w:rPr>
          <w:t>-</w:t>
        </w:r>
      </w:hyperlink>
      <w:hyperlink r:id="rId16">
        <w:r w:rsidRPr="005411B3">
          <w:rPr>
            <w:rFonts w:ascii="Arial" w:hAnsi="Arial" w:cs="Arial"/>
            <w:color w:val="auto"/>
            <w:sz w:val="18"/>
            <w:szCs w:val="18"/>
            <w:u w:val="single"/>
          </w:rPr>
          <w:t>locked</w:t>
        </w:r>
      </w:hyperlink>
      <w:hyperlink r:id="rId17">
        <w:r w:rsidRPr="005411B3">
          <w:rPr>
            <w:rFonts w:ascii="Arial" w:hAnsi="Arial" w:cs="Arial"/>
            <w:color w:val="auto"/>
            <w:sz w:val="18"/>
            <w:szCs w:val="18"/>
            <w:u w:val="single"/>
          </w:rPr>
          <w:t>-</w:t>
        </w:r>
      </w:hyperlink>
      <w:hyperlink r:id="rId18">
        <w:r w:rsidRPr="005411B3">
          <w:rPr>
            <w:rFonts w:ascii="Arial" w:hAnsi="Arial" w:cs="Arial"/>
            <w:color w:val="auto"/>
            <w:sz w:val="18"/>
            <w:szCs w:val="18"/>
            <w:u w:val="single"/>
          </w:rPr>
          <w:t>error</w:t>
        </w:r>
      </w:hyperlink>
      <w:hyperlink r:id="rId19">
        <w:r w:rsidRPr="005411B3">
          <w:rPr>
            <w:rFonts w:ascii="Arial" w:hAnsi="Arial" w:cs="Arial"/>
            <w:color w:val="auto"/>
            <w:sz w:val="18"/>
            <w:szCs w:val="18"/>
            <w:u w:val="single"/>
          </w:rPr>
          <w:t>-</w:t>
        </w:r>
      </w:hyperlink>
      <w:hyperlink r:id="rId20">
        <w:r w:rsidRPr="005411B3">
          <w:rPr>
            <w:rFonts w:ascii="Arial" w:hAnsi="Arial" w:cs="Arial"/>
            <w:color w:val="auto"/>
            <w:sz w:val="18"/>
            <w:szCs w:val="18"/>
            <w:u w:val="single"/>
          </w:rPr>
          <w:t>calling</w:t>
        </w:r>
      </w:hyperlink>
      <w:hyperlink r:id="rId21">
        <w:r w:rsidRPr="005411B3">
          <w:rPr>
            <w:rFonts w:ascii="Arial" w:hAnsi="Arial" w:cs="Arial"/>
            <w:color w:val="auto"/>
            <w:sz w:val="18"/>
            <w:szCs w:val="18"/>
            <w:u w:val="single"/>
          </w:rPr>
          <w:t>-</w:t>
        </w:r>
      </w:hyperlink>
      <w:hyperlink r:id="rId22">
        <w:r w:rsidRPr="005411B3">
          <w:rPr>
            <w:rFonts w:ascii="Arial" w:hAnsi="Arial" w:cs="Arial"/>
            <w:color w:val="auto"/>
            <w:sz w:val="18"/>
            <w:szCs w:val="18"/>
            <w:u w:val="single"/>
          </w:rPr>
          <w:t>censorship</w:t>
        </w:r>
      </w:hyperlink>
      <w:hyperlink r:id="rId23">
        <w:r w:rsidRPr="005411B3">
          <w:rPr>
            <w:rFonts w:ascii="Arial" w:hAnsi="Arial" w:cs="Arial"/>
            <w:color w:val="auto"/>
            <w:sz w:val="18"/>
            <w:szCs w:val="18"/>
            <w:u w:color="000000"/>
          </w:rPr>
          <w:t xml:space="preserve"> </w:t>
        </w:r>
      </w:hyperlink>
    </w:p>
  </w:footnote>
  <w:footnote w:id="10">
    <w:p w14:paraId="15C17C27" w14:textId="77777777" w:rsidR="00E617E2" w:rsidRPr="00041152" w:rsidRDefault="00E617E2" w:rsidP="00E617E2">
      <w:pPr>
        <w:pStyle w:val="footnotedescription"/>
        <w:spacing w:line="241" w:lineRule="auto"/>
        <w:ind w:left="144" w:right="14" w:hanging="144"/>
        <w:rPr>
          <w:rFonts w:ascii="Arial" w:hAnsi="Arial" w:cs="Arial"/>
          <w:sz w:val="18"/>
          <w:szCs w:val="18"/>
        </w:rPr>
      </w:pPr>
      <w:r w:rsidRPr="00FE29B9">
        <w:rPr>
          <w:rStyle w:val="footnotemark"/>
          <w:rFonts w:ascii="Arial" w:hAnsi="Arial" w:cs="Arial"/>
          <w:sz w:val="18"/>
          <w:szCs w:val="18"/>
        </w:rPr>
        <w:footnoteRef/>
      </w:r>
      <w:r w:rsidRPr="00041152">
        <w:rPr>
          <w:rFonts w:ascii="Arial" w:hAnsi="Arial" w:cs="Arial"/>
          <w:sz w:val="18"/>
          <w:szCs w:val="18"/>
        </w:rPr>
        <w:t xml:space="preserve"> </w:t>
      </w:r>
      <w:hyperlink r:id="rId24">
        <w:r w:rsidRPr="00041152">
          <w:rPr>
            <w:rFonts w:ascii="Arial" w:hAnsi="Arial" w:cs="Arial"/>
            <w:sz w:val="18"/>
            <w:szCs w:val="18"/>
            <w:u w:val="single"/>
          </w:rPr>
          <w:t>https://www.forbes.com/sites/jasonevangelho/2019/02/23/microsoft</w:t>
        </w:r>
      </w:hyperlink>
      <w:hyperlink r:id="rId25">
        <w:r w:rsidRPr="00041152">
          <w:rPr>
            <w:rFonts w:ascii="Arial" w:hAnsi="Arial" w:cs="Arial"/>
            <w:sz w:val="18"/>
            <w:szCs w:val="18"/>
            <w:u w:val="single"/>
          </w:rPr>
          <w:t>-</w:t>
        </w:r>
      </w:hyperlink>
      <w:hyperlink r:id="rId26">
        <w:r w:rsidRPr="00041152">
          <w:rPr>
            <w:rFonts w:ascii="Arial" w:hAnsi="Arial" w:cs="Arial"/>
            <w:sz w:val="18"/>
            <w:szCs w:val="18"/>
            <w:u w:val="single"/>
          </w:rPr>
          <w:t>employees</w:t>
        </w:r>
      </w:hyperlink>
      <w:hyperlink r:id="rId27">
        <w:r w:rsidRPr="00041152">
          <w:rPr>
            <w:rFonts w:ascii="Arial" w:hAnsi="Arial" w:cs="Arial"/>
            <w:sz w:val="18"/>
            <w:szCs w:val="18"/>
            <w:u w:val="single"/>
          </w:rPr>
          <w:t>-</w:t>
        </w:r>
      </w:hyperlink>
      <w:hyperlink r:id="rId28">
        <w:r w:rsidRPr="00041152">
          <w:rPr>
            <w:rFonts w:ascii="Arial" w:hAnsi="Arial" w:cs="Arial"/>
            <w:sz w:val="18"/>
            <w:szCs w:val="18"/>
            <w:u w:val="single"/>
          </w:rPr>
          <w:t>upset</w:t>
        </w:r>
      </w:hyperlink>
      <w:hyperlink r:id="rId29">
        <w:r w:rsidRPr="00041152">
          <w:rPr>
            <w:rFonts w:ascii="Arial" w:hAnsi="Arial" w:cs="Arial"/>
            <w:sz w:val="18"/>
            <w:szCs w:val="18"/>
            <w:u w:val="single"/>
          </w:rPr>
          <w:t>-</w:t>
        </w:r>
      </w:hyperlink>
      <w:hyperlink r:id="rId30">
        <w:r w:rsidRPr="00041152">
          <w:rPr>
            <w:rFonts w:ascii="Arial" w:hAnsi="Arial" w:cs="Arial"/>
            <w:sz w:val="18"/>
            <w:szCs w:val="18"/>
            <w:u w:val="single"/>
          </w:rPr>
          <w:t>about</w:t>
        </w:r>
      </w:hyperlink>
      <w:hyperlink r:id="rId31">
        <w:r w:rsidRPr="00041152">
          <w:rPr>
            <w:rFonts w:ascii="Arial" w:hAnsi="Arial" w:cs="Arial"/>
            <w:sz w:val="18"/>
            <w:szCs w:val="18"/>
            <w:u w:val="single"/>
          </w:rPr>
          <w:t>-</w:t>
        </w:r>
      </w:hyperlink>
      <w:hyperlink r:id="rId32">
        <w:r w:rsidRPr="00041152">
          <w:rPr>
            <w:rFonts w:ascii="Arial" w:hAnsi="Arial" w:cs="Arial"/>
            <w:sz w:val="18"/>
            <w:szCs w:val="18"/>
            <w:u w:val="single"/>
          </w:rPr>
          <w:t>hololens</w:t>
        </w:r>
      </w:hyperlink>
      <w:hyperlink r:id="rId33">
        <w:r w:rsidRPr="00041152">
          <w:rPr>
            <w:rFonts w:ascii="Arial" w:hAnsi="Arial" w:cs="Arial"/>
            <w:sz w:val="18"/>
            <w:szCs w:val="18"/>
            <w:u w:val="single"/>
          </w:rPr>
          <w:t>-</w:t>
        </w:r>
      </w:hyperlink>
      <w:hyperlink r:id="rId34">
        <w:r w:rsidRPr="00041152">
          <w:rPr>
            <w:rFonts w:ascii="Arial" w:hAnsi="Arial" w:cs="Arial"/>
            <w:sz w:val="18"/>
            <w:szCs w:val="18"/>
            <w:u w:val="single"/>
          </w:rPr>
          <w:t>as</w:t>
        </w:r>
      </w:hyperlink>
      <w:hyperlink r:id="rId35">
        <w:r w:rsidRPr="00041152">
          <w:rPr>
            <w:rFonts w:ascii="Arial" w:hAnsi="Arial" w:cs="Arial"/>
            <w:sz w:val="18"/>
            <w:szCs w:val="18"/>
            <w:u w:val="single"/>
          </w:rPr>
          <w:t>-</w:t>
        </w:r>
      </w:hyperlink>
      <w:hyperlink r:id="rId36">
        <w:r w:rsidRPr="00041152">
          <w:rPr>
            <w:rFonts w:ascii="Arial" w:hAnsi="Arial" w:cs="Arial"/>
            <w:sz w:val="18"/>
            <w:szCs w:val="18"/>
            <w:u w:val="single"/>
          </w:rPr>
          <w:t>u</w:t>
        </w:r>
      </w:hyperlink>
      <w:hyperlink r:id="rId37">
        <w:r w:rsidRPr="00041152">
          <w:rPr>
            <w:rFonts w:ascii="Arial" w:hAnsi="Arial" w:cs="Arial"/>
            <w:sz w:val="18"/>
            <w:szCs w:val="18"/>
            <w:u w:val="single"/>
          </w:rPr>
          <w:t>-</w:t>
        </w:r>
      </w:hyperlink>
      <w:hyperlink r:id="rId38">
        <w:r w:rsidRPr="00041152">
          <w:rPr>
            <w:rFonts w:ascii="Arial" w:hAnsi="Arial" w:cs="Arial"/>
            <w:sz w:val="18"/>
            <w:szCs w:val="18"/>
            <w:u w:val="single"/>
          </w:rPr>
          <w:t>s</w:t>
        </w:r>
      </w:hyperlink>
      <w:hyperlink r:id="rId39">
        <w:r w:rsidRPr="00041152">
          <w:rPr>
            <w:rFonts w:ascii="Arial" w:hAnsi="Arial" w:cs="Arial"/>
            <w:sz w:val="18"/>
            <w:szCs w:val="18"/>
            <w:u w:val="single"/>
          </w:rPr>
          <w:t>-</w:t>
        </w:r>
      </w:hyperlink>
      <w:hyperlink r:id="rId40">
        <w:r w:rsidRPr="00041152">
          <w:rPr>
            <w:rFonts w:ascii="Arial" w:hAnsi="Arial" w:cs="Arial"/>
            <w:sz w:val="18"/>
            <w:szCs w:val="18"/>
            <w:u w:val="single"/>
          </w:rPr>
          <w:t>military</w:t>
        </w:r>
      </w:hyperlink>
      <w:r w:rsidRPr="00041152">
        <w:rPr>
          <w:rFonts w:ascii="Arial" w:hAnsi="Arial" w:cs="Arial"/>
          <w:sz w:val="18"/>
          <w:szCs w:val="18"/>
          <w:u w:val="single"/>
        </w:rPr>
        <w:t>-</w:t>
      </w:r>
      <w:hyperlink r:id="rId41">
        <w:r w:rsidRPr="00041152">
          <w:rPr>
            <w:rFonts w:ascii="Arial" w:hAnsi="Arial" w:cs="Arial"/>
            <w:sz w:val="18"/>
            <w:szCs w:val="18"/>
            <w:u w:val="single"/>
          </w:rPr>
          <w:t>weapon/?sh=160424bb4822</w:t>
        </w:r>
      </w:hyperlink>
      <w:hyperlink r:id="rId42">
        <w:r w:rsidRPr="00041152">
          <w:rPr>
            <w:rFonts w:ascii="Arial" w:hAnsi="Arial" w:cs="Arial"/>
            <w:sz w:val="18"/>
            <w:szCs w:val="18"/>
          </w:rPr>
          <w:t xml:space="preserve"> </w:t>
        </w:r>
      </w:hyperlink>
    </w:p>
  </w:footnote>
  <w:footnote w:id="11">
    <w:p w14:paraId="3AC49758" w14:textId="77777777" w:rsidR="00E617E2" w:rsidRPr="00041152" w:rsidRDefault="00E617E2" w:rsidP="00E617E2">
      <w:pPr>
        <w:pStyle w:val="footnotedescription"/>
        <w:spacing w:after="0"/>
        <w:ind w:left="144" w:right="14" w:hanging="144"/>
        <w:rPr>
          <w:rFonts w:ascii="Arial" w:hAnsi="Arial" w:cs="Arial"/>
          <w:sz w:val="18"/>
          <w:szCs w:val="18"/>
        </w:rPr>
      </w:pPr>
      <w:r w:rsidRPr="00FE29B9">
        <w:rPr>
          <w:rStyle w:val="footnotemark"/>
          <w:rFonts w:ascii="Arial" w:hAnsi="Arial" w:cs="Arial"/>
          <w:sz w:val="18"/>
          <w:szCs w:val="18"/>
        </w:rPr>
        <w:footnoteRef/>
      </w:r>
      <w:r w:rsidRPr="00041152">
        <w:rPr>
          <w:rFonts w:ascii="Arial" w:hAnsi="Arial" w:cs="Arial"/>
          <w:sz w:val="18"/>
          <w:szCs w:val="18"/>
        </w:rPr>
        <w:t xml:space="preserve"> </w:t>
      </w:r>
      <w:hyperlink r:id="rId43">
        <w:r w:rsidRPr="00041152">
          <w:rPr>
            <w:rFonts w:ascii="Arial" w:hAnsi="Arial" w:cs="Arial"/>
            <w:sz w:val="18"/>
            <w:szCs w:val="18"/>
            <w:u w:val="single"/>
          </w:rPr>
          <w:t>https://www.newsweek.com/what</w:t>
        </w:r>
      </w:hyperlink>
      <w:hyperlink r:id="rId44">
        <w:r w:rsidRPr="00041152">
          <w:rPr>
            <w:rFonts w:ascii="Arial" w:hAnsi="Arial" w:cs="Arial"/>
            <w:sz w:val="18"/>
            <w:szCs w:val="18"/>
            <w:u w:val="single"/>
          </w:rPr>
          <w:t>-</w:t>
        </w:r>
      </w:hyperlink>
      <w:hyperlink r:id="rId45">
        <w:r w:rsidRPr="00041152">
          <w:rPr>
            <w:rFonts w:ascii="Arial" w:hAnsi="Arial" w:cs="Arial"/>
            <w:sz w:val="18"/>
            <w:szCs w:val="18"/>
            <w:u w:val="single"/>
          </w:rPr>
          <w:t>hololens</w:t>
        </w:r>
      </w:hyperlink>
      <w:hyperlink r:id="rId46">
        <w:r w:rsidRPr="00041152">
          <w:rPr>
            <w:rFonts w:ascii="Arial" w:hAnsi="Arial" w:cs="Arial"/>
            <w:sz w:val="18"/>
            <w:szCs w:val="18"/>
            <w:u w:val="single"/>
          </w:rPr>
          <w:t>-</w:t>
        </w:r>
      </w:hyperlink>
      <w:hyperlink r:id="rId47">
        <w:r w:rsidRPr="00041152">
          <w:rPr>
            <w:rFonts w:ascii="Arial" w:hAnsi="Arial" w:cs="Arial"/>
            <w:sz w:val="18"/>
            <w:szCs w:val="18"/>
            <w:u w:val="single"/>
          </w:rPr>
          <w:t>microsoft</w:t>
        </w:r>
      </w:hyperlink>
      <w:hyperlink r:id="rId48">
        <w:r w:rsidRPr="00041152">
          <w:rPr>
            <w:rFonts w:ascii="Arial" w:hAnsi="Arial" w:cs="Arial"/>
            <w:sz w:val="18"/>
            <w:szCs w:val="18"/>
            <w:u w:val="single"/>
          </w:rPr>
          <w:t>-</w:t>
        </w:r>
      </w:hyperlink>
      <w:hyperlink r:id="rId49">
        <w:r w:rsidRPr="00041152">
          <w:rPr>
            <w:rFonts w:ascii="Arial" w:hAnsi="Arial" w:cs="Arial"/>
            <w:sz w:val="18"/>
            <w:szCs w:val="18"/>
            <w:u w:val="single"/>
          </w:rPr>
          <w:t>workers</w:t>
        </w:r>
      </w:hyperlink>
      <w:hyperlink r:id="rId50">
        <w:r w:rsidRPr="00041152">
          <w:rPr>
            <w:rFonts w:ascii="Arial" w:hAnsi="Arial" w:cs="Arial"/>
            <w:sz w:val="18"/>
            <w:szCs w:val="18"/>
            <w:u w:val="single"/>
          </w:rPr>
          <w:t>-</w:t>
        </w:r>
      </w:hyperlink>
      <w:hyperlink r:id="rId51">
        <w:r w:rsidRPr="00041152">
          <w:rPr>
            <w:rFonts w:ascii="Arial" w:hAnsi="Arial" w:cs="Arial"/>
            <w:sz w:val="18"/>
            <w:szCs w:val="18"/>
            <w:u w:val="single"/>
          </w:rPr>
          <w:t>call</w:t>
        </w:r>
      </w:hyperlink>
      <w:hyperlink r:id="rId52">
        <w:r w:rsidRPr="00041152">
          <w:rPr>
            <w:rFonts w:ascii="Arial" w:hAnsi="Arial" w:cs="Arial"/>
            <w:sz w:val="18"/>
            <w:szCs w:val="18"/>
            <w:u w:val="single"/>
          </w:rPr>
          <w:t>-</w:t>
        </w:r>
      </w:hyperlink>
      <w:hyperlink r:id="rId53">
        <w:r w:rsidRPr="00041152">
          <w:rPr>
            <w:rFonts w:ascii="Arial" w:hAnsi="Arial" w:cs="Arial"/>
            <w:sz w:val="18"/>
            <w:szCs w:val="18"/>
            <w:u w:val="single"/>
          </w:rPr>
          <w:t>bosses</w:t>
        </w:r>
      </w:hyperlink>
      <w:hyperlink r:id="rId54">
        <w:r w:rsidRPr="00041152">
          <w:rPr>
            <w:rFonts w:ascii="Arial" w:hAnsi="Arial" w:cs="Arial"/>
            <w:sz w:val="18"/>
            <w:szCs w:val="18"/>
            <w:u w:val="single"/>
          </w:rPr>
          <w:t>-</w:t>
        </w:r>
      </w:hyperlink>
      <w:hyperlink r:id="rId55">
        <w:r w:rsidRPr="00041152">
          <w:rPr>
            <w:rFonts w:ascii="Arial" w:hAnsi="Arial" w:cs="Arial"/>
            <w:sz w:val="18"/>
            <w:szCs w:val="18"/>
            <w:u w:val="single"/>
          </w:rPr>
          <w:t>drop</w:t>
        </w:r>
      </w:hyperlink>
      <w:hyperlink r:id="rId56">
        <w:r w:rsidRPr="00041152">
          <w:rPr>
            <w:rFonts w:ascii="Arial" w:hAnsi="Arial" w:cs="Arial"/>
            <w:sz w:val="18"/>
            <w:szCs w:val="18"/>
            <w:u w:val="single"/>
          </w:rPr>
          <w:t>-</w:t>
        </w:r>
      </w:hyperlink>
      <w:hyperlink r:id="rId57">
        <w:r w:rsidRPr="00041152">
          <w:rPr>
            <w:rFonts w:ascii="Arial" w:hAnsi="Arial" w:cs="Arial"/>
            <w:sz w:val="18"/>
            <w:szCs w:val="18"/>
            <w:u w:val="single"/>
          </w:rPr>
          <w:t>us</w:t>
        </w:r>
      </w:hyperlink>
      <w:hyperlink r:id="rId58">
        <w:r w:rsidRPr="00041152">
          <w:rPr>
            <w:rFonts w:ascii="Arial" w:hAnsi="Arial" w:cs="Arial"/>
            <w:sz w:val="18"/>
            <w:szCs w:val="18"/>
            <w:u w:val="single"/>
          </w:rPr>
          <w:t>-</w:t>
        </w:r>
      </w:hyperlink>
      <w:hyperlink r:id="rId59">
        <w:r w:rsidRPr="00041152">
          <w:rPr>
            <w:rFonts w:ascii="Arial" w:hAnsi="Arial" w:cs="Arial"/>
            <w:sz w:val="18"/>
            <w:szCs w:val="18"/>
            <w:u w:val="single"/>
          </w:rPr>
          <w:t>military</w:t>
        </w:r>
      </w:hyperlink>
      <w:hyperlink r:id="rId60">
        <w:r w:rsidRPr="00041152">
          <w:rPr>
            <w:rFonts w:ascii="Arial" w:hAnsi="Arial" w:cs="Arial"/>
            <w:sz w:val="18"/>
            <w:szCs w:val="18"/>
            <w:u w:val="single"/>
          </w:rPr>
          <w:t>-</w:t>
        </w:r>
      </w:hyperlink>
      <w:hyperlink r:id="rId61">
        <w:r w:rsidRPr="00041152">
          <w:rPr>
            <w:rFonts w:ascii="Arial" w:hAnsi="Arial" w:cs="Arial"/>
            <w:sz w:val="18"/>
            <w:szCs w:val="18"/>
            <w:u w:val="single"/>
          </w:rPr>
          <w:t>contract</w:t>
        </w:r>
      </w:hyperlink>
      <w:hyperlink r:id="rId62">
        <w:r w:rsidRPr="00041152">
          <w:rPr>
            <w:rFonts w:ascii="Arial" w:hAnsi="Arial" w:cs="Arial"/>
            <w:sz w:val="18"/>
            <w:szCs w:val="18"/>
            <w:u w:val="single"/>
          </w:rPr>
          <w:t>-</w:t>
        </w:r>
      </w:hyperlink>
      <w:hyperlink r:id="rId63">
        <w:r w:rsidRPr="00041152">
          <w:rPr>
            <w:rFonts w:ascii="Arial" w:hAnsi="Arial" w:cs="Arial"/>
            <w:sz w:val="18"/>
            <w:szCs w:val="18"/>
            <w:u w:val="single"/>
          </w:rPr>
          <w:t>we</w:t>
        </w:r>
      </w:hyperlink>
      <w:hyperlink r:id="rId64">
        <w:r w:rsidRPr="00041152">
          <w:rPr>
            <w:rFonts w:ascii="Arial" w:hAnsi="Arial" w:cs="Arial"/>
            <w:sz w:val="18"/>
            <w:szCs w:val="18"/>
            <w:u w:val="single"/>
          </w:rPr>
          <w:t>-</w:t>
        </w:r>
      </w:hyperlink>
      <w:hyperlink r:id="rId65">
        <w:r w:rsidRPr="00041152">
          <w:rPr>
            <w:rFonts w:ascii="Arial" w:hAnsi="Arial" w:cs="Arial"/>
            <w:sz w:val="18"/>
            <w:szCs w:val="18"/>
            <w:u w:val="single"/>
          </w:rPr>
          <w:t>did</w:t>
        </w:r>
      </w:hyperlink>
      <w:hyperlink r:id="rId66">
        <w:r w:rsidRPr="00041152">
          <w:rPr>
            <w:rFonts w:ascii="Arial" w:hAnsi="Arial" w:cs="Arial"/>
            <w:sz w:val="18"/>
            <w:szCs w:val="18"/>
            <w:u w:val="single"/>
          </w:rPr>
          <w:t>-</w:t>
        </w:r>
      </w:hyperlink>
      <w:hyperlink r:id="rId67">
        <w:r w:rsidRPr="00041152">
          <w:rPr>
            <w:rFonts w:ascii="Arial" w:hAnsi="Arial" w:cs="Arial"/>
            <w:sz w:val="18"/>
            <w:szCs w:val="18"/>
            <w:u w:val="single"/>
          </w:rPr>
          <w:t>1341560</w:t>
        </w:r>
      </w:hyperlink>
      <w:hyperlink r:id="rId68">
        <w:r w:rsidRPr="00041152">
          <w:rPr>
            <w:rFonts w:ascii="Arial" w:hAnsi="Arial" w:cs="Arial"/>
            <w:sz w:val="18"/>
            <w:szCs w:val="18"/>
          </w:rPr>
          <w:t xml:space="preserve"> </w:t>
        </w:r>
      </w:hyperlink>
    </w:p>
  </w:footnote>
  <w:footnote w:id="12">
    <w:p w14:paraId="22EEE722" w14:textId="77777777" w:rsidR="00E617E2" w:rsidRDefault="00E617E2" w:rsidP="00E617E2">
      <w:pPr>
        <w:pStyle w:val="footnotedescription"/>
        <w:spacing w:after="182"/>
        <w:ind w:left="144" w:right="14" w:hanging="144"/>
      </w:pPr>
      <w:r w:rsidRPr="00FE29B9">
        <w:rPr>
          <w:rStyle w:val="footnotemark"/>
          <w:rFonts w:ascii="Arial" w:hAnsi="Arial" w:cs="Arial"/>
          <w:sz w:val="18"/>
          <w:szCs w:val="18"/>
        </w:rPr>
        <w:footnoteRef/>
      </w:r>
      <w:r w:rsidRPr="00041152">
        <w:rPr>
          <w:rFonts w:ascii="Arial" w:hAnsi="Arial" w:cs="Arial"/>
          <w:sz w:val="18"/>
          <w:szCs w:val="18"/>
        </w:rPr>
        <w:t xml:space="preserve"> </w:t>
      </w:r>
      <w:hyperlink r:id="rId69">
        <w:r w:rsidRPr="00041152">
          <w:rPr>
            <w:rFonts w:ascii="Arial" w:hAnsi="Arial" w:cs="Arial"/>
            <w:sz w:val="18"/>
            <w:szCs w:val="18"/>
            <w:u w:val="single"/>
          </w:rPr>
          <w:t>https://www.xrtoday.com/mixed</w:t>
        </w:r>
      </w:hyperlink>
      <w:hyperlink r:id="rId70">
        <w:r w:rsidRPr="00041152">
          <w:rPr>
            <w:rFonts w:ascii="Arial" w:hAnsi="Arial" w:cs="Arial"/>
            <w:sz w:val="18"/>
            <w:szCs w:val="18"/>
            <w:u w:val="single"/>
          </w:rPr>
          <w:t>-</w:t>
        </w:r>
      </w:hyperlink>
      <w:hyperlink r:id="rId71">
        <w:r w:rsidRPr="00041152">
          <w:rPr>
            <w:rFonts w:ascii="Arial" w:hAnsi="Arial" w:cs="Arial"/>
            <w:sz w:val="18"/>
            <w:szCs w:val="18"/>
            <w:u w:val="single"/>
          </w:rPr>
          <w:t>reality/microsoft</w:t>
        </w:r>
      </w:hyperlink>
      <w:hyperlink r:id="rId72">
        <w:r w:rsidRPr="00041152">
          <w:rPr>
            <w:rFonts w:ascii="Arial" w:hAnsi="Arial" w:cs="Arial"/>
            <w:sz w:val="18"/>
            <w:szCs w:val="18"/>
            <w:u w:val="single"/>
          </w:rPr>
          <w:t>-</w:t>
        </w:r>
      </w:hyperlink>
      <w:hyperlink r:id="rId73">
        <w:r w:rsidRPr="00041152">
          <w:rPr>
            <w:rFonts w:ascii="Arial" w:hAnsi="Arial" w:cs="Arial"/>
            <w:sz w:val="18"/>
            <w:szCs w:val="18"/>
            <w:u w:val="single"/>
          </w:rPr>
          <w:t>to</w:t>
        </w:r>
      </w:hyperlink>
      <w:hyperlink r:id="rId74">
        <w:r w:rsidRPr="00041152">
          <w:rPr>
            <w:rFonts w:ascii="Arial" w:hAnsi="Arial" w:cs="Arial"/>
            <w:sz w:val="18"/>
            <w:szCs w:val="18"/>
            <w:u w:val="single"/>
          </w:rPr>
          <w:t>-</w:t>
        </w:r>
      </w:hyperlink>
      <w:hyperlink r:id="rId75">
        <w:r w:rsidRPr="00041152">
          <w:rPr>
            <w:rFonts w:ascii="Arial" w:hAnsi="Arial" w:cs="Arial"/>
            <w:sz w:val="18"/>
            <w:szCs w:val="18"/>
            <w:u w:val="single"/>
          </w:rPr>
          <w:t>cut</w:t>
        </w:r>
      </w:hyperlink>
      <w:hyperlink r:id="rId76">
        <w:r w:rsidRPr="00041152">
          <w:rPr>
            <w:rFonts w:ascii="Arial" w:hAnsi="Arial" w:cs="Arial"/>
            <w:sz w:val="18"/>
            <w:szCs w:val="18"/>
            <w:u w:val="single"/>
          </w:rPr>
          <w:t>-</w:t>
        </w:r>
      </w:hyperlink>
      <w:hyperlink r:id="rId77">
        <w:r w:rsidRPr="00041152">
          <w:rPr>
            <w:rFonts w:ascii="Arial" w:hAnsi="Arial" w:cs="Arial"/>
            <w:sz w:val="18"/>
            <w:szCs w:val="18"/>
            <w:u w:val="single"/>
          </w:rPr>
          <w:t>back</w:t>
        </w:r>
      </w:hyperlink>
      <w:hyperlink r:id="rId78">
        <w:r w:rsidRPr="00041152">
          <w:rPr>
            <w:rFonts w:ascii="Arial" w:hAnsi="Arial" w:cs="Arial"/>
            <w:sz w:val="18"/>
            <w:szCs w:val="18"/>
            <w:u w:val="single"/>
          </w:rPr>
          <w:t>-</w:t>
        </w:r>
      </w:hyperlink>
      <w:hyperlink r:id="rId79">
        <w:r w:rsidRPr="00041152">
          <w:rPr>
            <w:rFonts w:ascii="Arial" w:hAnsi="Arial" w:cs="Arial"/>
            <w:sz w:val="18"/>
            <w:szCs w:val="18"/>
            <w:u w:val="single"/>
          </w:rPr>
          <w:t>us</w:t>
        </w:r>
      </w:hyperlink>
      <w:hyperlink r:id="rId80">
        <w:r w:rsidRPr="00041152">
          <w:rPr>
            <w:rFonts w:ascii="Arial" w:hAnsi="Arial" w:cs="Arial"/>
            <w:sz w:val="18"/>
            <w:szCs w:val="18"/>
            <w:u w:val="single"/>
          </w:rPr>
          <w:t>-</w:t>
        </w:r>
      </w:hyperlink>
      <w:hyperlink r:id="rId81">
        <w:r w:rsidRPr="00041152">
          <w:rPr>
            <w:rFonts w:ascii="Arial" w:hAnsi="Arial" w:cs="Arial"/>
            <w:sz w:val="18"/>
            <w:szCs w:val="18"/>
            <w:u w:val="single"/>
          </w:rPr>
          <w:t>army</w:t>
        </w:r>
      </w:hyperlink>
      <w:hyperlink r:id="rId82">
        <w:r w:rsidRPr="00041152">
          <w:rPr>
            <w:rFonts w:ascii="Arial" w:hAnsi="Arial" w:cs="Arial"/>
            <w:sz w:val="18"/>
            <w:szCs w:val="18"/>
            <w:u w:val="single"/>
          </w:rPr>
          <w:t>-</w:t>
        </w:r>
      </w:hyperlink>
      <w:hyperlink r:id="rId83">
        <w:r w:rsidRPr="00041152">
          <w:rPr>
            <w:rFonts w:ascii="Arial" w:hAnsi="Arial" w:cs="Arial"/>
            <w:sz w:val="18"/>
            <w:szCs w:val="18"/>
            <w:u w:val="single"/>
          </w:rPr>
          <w:t>ivas</w:t>
        </w:r>
      </w:hyperlink>
      <w:hyperlink r:id="rId84">
        <w:r w:rsidRPr="00041152">
          <w:rPr>
            <w:rFonts w:ascii="Arial" w:hAnsi="Arial" w:cs="Arial"/>
            <w:sz w:val="18"/>
            <w:szCs w:val="18"/>
            <w:u w:val="single"/>
          </w:rPr>
          <w:t>-</w:t>
        </w:r>
      </w:hyperlink>
      <w:hyperlink r:id="rId85">
        <w:r w:rsidRPr="00041152">
          <w:rPr>
            <w:rFonts w:ascii="Arial" w:hAnsi="Arial" w:cs="Arial"/>
            <w:sz w:val="18"/>
            <w:szCs w:val="18"/>
            <w:u w:val="single"/>
          </w:rPr>
          <w:t>staff</w:t>
        </w:r>
      </w:hyperlink>
      <w:hyperlink r:id="rId86">
        <w:r w:rsidRPr="00041152">
          <w:rPr>
            <w:rFonts w:ascii="Arial" w:hAnsi="Arial" w:cs="Arial"/>
            <w:sz w:val="18"/>
            <w:szCs w:val="18"/>
            <w:u w:val="single"/>
          </w:rPr>
          <w:t>-</w:t>
        </w:r>
      </w:hyperlink>
      <w:hyperlink r:id="rId87">
        <w:r w:rsidRPr="00041152">
          <w:rPr>
            <w:rFonts w:ascii="Arial" w:hAnsi="Arial" w:cs="Arial"/>
            <w:sz w:val="18"/>
            <w:szCs w:val="18"/>
            <w:u w:val="single"/>
          </w:rPr>
          <w:t>amid</w:t>
        </w:r>
      </w:hyperlink>
      <w:hyperlink r:id="rId88">
        <w:r w:rsidRPr="00041152">
          <w:rPr>
            <w:rFonts w:ascii="Arial" w:hAnsi="Arial" w:cs="Arial"/>
            <w:sz w:val="18"/>
            <w:szCs w:val="18"/>
            <w:u w:val="single"/>
          </w:rPr>
          <w:t>-</w:t>
        </w:r>
      </w:hyperlink>
      <w:hyperlink r:id="rId89">
        <w:r w:rsidRPr="00041152">
          <w:rPr>
            <w:rFonts w:ascii="Arial" w:hAnsi="Arial" w:cs="Arial"/>
            <w:sz w:val="18"/>
            <w:szCs w:val="18"/>
            <w:u w:val="single"/>
          </w:rPr>
          <w:t>layoffs/</w:t>
        </w:r>
      </w:hyperlink>
      <w:hyperlink r:id="rId90">
        <w:r w:rsidRPr="00041152">
          <w:rPr>
            <w:rFonts w:ascii="Arial" w:hAnsi="Arial" w:cs="Arial"/>
            <w:sz w:val="18"/>
            <w:szCs w:val="18"/>
            <w:u w:val="single"/>
          </w:rPr>
          <w:t xml:space="preserve"> </w:t>
        </w:r>
      </w:hyperlink>
    </w:p>
    <w:p w14:paraId="4225C6DD" w14:textId="77777777" w:rsidR="00E617E2" w:rsidRDefault="00E617E2" w:rsidP="00E617E2">
      <w:pPr>
        <w:pStyle w:val="footnotedescription"/>
        <w:spacing w:after="0"/>
      </w:pPr>
      <w:r>
        <w:rPr>
          <w:u w:color="000000"/>
        </w:rPr>
        <w:t xml:space="preserve"> </w:t>
      </w:r>
    </w:p>
  </w:footnote>
  <w:footnote w:id="13">
    <w:p w14:paraId="3E4AD903" w14:textId="77777777" w:rsidR="00E617E2" w:rsidRPr="006E0037" w:rsidRDefault="00E617E2" w:rsidP="00E617E2">
      <w:pPr>
        <w:pStyle w:val="footnotedescription"/>
        <w:ind w:left="144" w:right="14" w:hanging="144"/>
        <w:rPr>
          <w:rFonts w:ascii="Arial" w:hAnsi="Arial" w:cs="Arial"/>
          <w:sz w:val="18"/>
          <w:szCs w:val="18"/>
        </w:rPr>
      </w:pPr>
      <w:r w:rsidRPr="00FE29B9">
        <w:rPr>
          <w:rStyle w:val="footnotemark"/>
          <w:rFonts w:ascii="Arial" w:hAnsi="Arial" w:cs="Arial"/>
          <w:sz w:val="18"/>
          <w:szCs w:val="18"/>
        </w:rPr>
        <w:footnoteRef/>
      </w:r>
      <w:r w:rsidRPr="006E0037">
        <w:rPr>
          <w:rFonts w:ascii="Arial" w:hAnsi="Arial" w:cs="Arial"/>
          <w:sz w:val="18"/>
          <w:szCs w:val="18"/>
        </w:rPr>
        <w:t xml:space="preserve"> </w:t>
      </w:r>
      <w:hyperlink r:id="rId91">
        <w:r w:rsidRPr="00DA33C9">
          <w:rPr>
            <w:rFonts w:ascii="Arial" w:hAnsi="Arial" w:cs="Arial"/>
            <w:sz w:val="18"/>
            <w:szCs w:val="18"/>
            <w:u w:val="single"/>
          </w:rPr>
          <w:t>https://www.swissre.com/media/press</w:t>
        </w:r>
      </w:hyperlink>
      <w:hyperlink r:id="rId92">
        <w:r w:rsidRPr="00DA33C9">
          <w:rPr>
            <w:rFonts w:ascii="Arial" w:hAnsi="Arial" w:cs="Arial"/>
            <w:sz w:val="18"/>
            <w:szCs w:val="18"/>
            <w:u w:val="single"/>
          </w:rPr>
          <w:t>-</w:t>
        </w:r>
      </w:hyperlink>
      <w:hyperlink r:id="rId93">
        <w:r w:rsidRPr="00DA33C9">
          <w:rPr>
            <w:rFonts w:ascii="Arial" w:hAnsi="Arial" w:cs="Arial"/>
            <w:sz w:val="18"/>
            <w:szCs w:val="18"/>
            <w:u w:val="single"/>
          </w:rPr>
          <w:t>release/nr</w:t>
        </w:r>
      </w:hyperlink>
      <w:hyperlink r:id="rId94">
        <w:r w:rsidRPr="00DA33C9">
          <w:rPr>
            <w:rFonts w:ascii="Arial" w:hAnsi="Arial" w:cs="Arial"/>
            <w:sz w:val="18"/>
            <w:szCs w:val="18"/>
            <w:u w:val="single"/>
          </w:rPr>
          <w:t>-</w:t>
        </w:r>
      </w:hyperlink>
      <w:hyperlink r:id="rId95">
        <w:r w:rsidRPr="00DA33C9">
          <w:rPr>
            <w:rFonts w:ascii="Arial" w:hAnsi="Arial" w:cs="Arial"/>
            <w:sz w:val="18"/>
            <w:szCs w:val="18"/>
            <w:u w:val="single"/>
          </w:rPr>
          <w:t>20210422</w:t>
        </w:r>
      </w:hyperlink>
      <w:hyperlink r:id="rId96">
        <w:r w:rsidRPr="00DA33C9">
          <w:rPr>
            <w:rFonts w:ascii="Arial" w:hAnsi="Arial" w:cs="Arial"/>
            <w:sz w:val="18"/>
            <w:szCs w:val="18"/>
            <w:u w:val="single"/>
          </w:rPr>
          <w:t>-</w:t>
        </w:r>
      </w:hyperlink>
      <w:hyperlink r:id="rId97">
        <w:r w:rsidRPr="00DA33C9">
          <w:rPr>
            <w:rFonts w:ascii="Arial" w:hAnsi="Arial" w:cs="Arial"/>
            <w:sz w:val="18"/>
            <w:szCs w:val="18"/>
            <w:u w:val="single"/>
          </w:rPr>
          <w:t>economics</w:t>
        </w:r>
      </w:hyperlink>
      <w:hyperlink r:id="rId98">
        <w:r w:rsidRPr="00DA33C9">
          <w:rPr>
            <w:rFonts w:ascii="Arial" w:hAnsi="Arial" w:cs="Arial"/>
            <w:sz w:val="18"/>
            <w:szCs w:val="18"/>
            <w:u w:val="single"/>
          </w:rPr>
          <w:t>-</w:t>
        </w:r>
      </w:hyperlink>
      <w:hyperlink r:id="rId99">
        <w:r w:rsidRPr="00DA33C9">
          <w:rPr>
            <w:rFonts w:ascii="Arial" w:hAnsi="Arial" w:cs="Arial"/>
            <w:sz w:val="18"/>
            <w:szCs w:val="18"/>
            <w:u w:val="single"/>
          </w:rPr>
          <w:t>of</w:t>
        </w:r>
      </w:hyperlink>
      <w:hyperlink r:id="rId100">
        <w:r w:rsidRPr="00DA33C9">
          <w:rPr>
            <w:rFonts w:ascii="Arial" w:hAnsi="Arial" w:cs="Arial"/>
            <w:sz w:val="18"/>
            <w:szCs w:val="18"/>
            <w:u w:val="single"/>
          </w:rPr>
          <w:t>-</w:t>
        </w:r>
      </w:hyperlink>
      <w:hyperlink r:id="rId101">
        <w:r w:rsidRPr="00DA33C9">
          <w:rPr>
            <w:rFonts w:ascii="Arial" w:hAnsi="Arial" w:cs="Arial"/>
            <w:sz w:val="18"/>
            <w:szCs w:val="18"/>
            <w:u w:val="single"/>
          </w:rPr>
          <w:t>climate</w:t>
        </w:r>
      </w:hyperlink>
      <w:hyperlink r:id="rId102">
        <w:r w:rsidRPr="00DA33C9">
          <w:rPr>
            <w:rFonts w:ascii="Arial" w:hAnsi="Arial" w:cs="Arial"/>
            <w:sz w:val="18"/>
            <w:szCs w:val="18"/>
            <w:u w:val="single"/>
          </w:rPr>
          <w:t>-</w:t>
        </w:r>
      </w:hyperlink>
      <w:hyperlink r:id="rId103">
        <w:r w:rsidRPr="00DA33C9">
          <w:rPr>
            <w:rFonts w:ascii="Arial" w:hAnsi="Arial" w:cs="Arial"/>
            <w:sz w:val="18"/>
            <w:szCs w:val="18"/>
            <w:u w:val="single"/>
          </w:rPr>
          <w:t>change</w:t>
        </w:r>
      </w:hyperlink>
      <w:hyperlink r:id="rId104">
        <w:r w:rsidRPr="00DA33C9">
          <w:rPr>
            <w:rFonts w:ascii="Arial" w:hAnsi="Arial" w:cs="Arial"/>
            <w:sz w:val="18"/>
            <w:szCs w:val="18"/>
            <w:u w:val="single"/>
          </w:rPr>
          <w:t>-</w:t>
        </w:r>
      </w:hyperlink>
      <w:hyperlink r:id="rId105">
        <w:r w:rsidRPr="00DA33C9">
          <w:rPr>
            <w:rFonts w:ascii="Arial" w:hAnsi="Arial" w:cs="Arial"/>
            <w:sz w:val="18"/>
            <w:szCs w:val="18"/>
            <w:u w:val="single"/>
          </w:rPr>
          <w:t>risks.html</w:t>
        </w:r>
      </w:hyperlink>
      <w:hyperlink r:id="rId106">
        <w:r w:rsidRPr="006E0037">
          <w:rPr>
            <w:rFonts w:ascii="Arial" w:hAnsi="Arial" w:cs="Arial"/>
            <w:sz w:val="18"/>
            <w:szCs w:val="18"/>
            <w:u w:color="000000"/>
          </w:rPr>
          <w:t xml:space="preserve"> </w:t>
        </w:r>
      </w:hyperlink>
    </w:p>
  </w:footnote>
  <w:footnote w:id="14">
    <w:p w14:paraId="587421ED" w14:textId="77777777" w:rsidR="00E617E2" w:rsidRPr="006E0037" w:rsidRDefault="00E617E2" w:rsidP="00E617E2">
      <w:pPr>
        <w:pStyle w:val="footnotedescription"/>
        <w:ind w:left="144" w:right="14" w:hanging="144"/>
        <w:rPr>
          <w:rFonts w:ascii="Arial" w:hAnsi="Arial" w:cs="Arial"/>
          <w:sz w:val="18"/>
          <w:szCs w:val="18"/>
        </w:rPr>
      </w:pPr>
      <w:r w:rsidRPr="00FE29B9">
        <w:rPr>
          <w:rStyle w:val="footnotemark"/>
          <w:rFonts w:ascii="Arial" w:hAnsi="Arial" w:cs="Arial"/>
          <w:sz w:val="18"/>
          <w:szCs w:val="18"/>
        </w:rPr>
        <w:footnoteRef/>
      </w:r>
      <w:r w:rsidRPr="006E0037">
        <w:rPr>
          <w:rFonts w:ascii="Arial" w:hAnsi="Arial" w:cs="Arial"/>
          <w:sz w:val="18"/>
          <w:szCs w:val="18"/>
        </w:rPr>
        <w:t xml:space="preserve"> </w:t>
      </w:r>
      <w:hyperlink r:id="rId107">
        <w:r w:rsidRPr="00DA33C9">
          <w:rPr>
            <w:rFonts w:ascii="Arial" w:hAnsi="Arial" w:cs="Arial"/>
            <w:sz w:val="18"/>
            <w:szCs w:val="18"/>
            <w:u w:val="single"/>
          </w:rPr>
          <w:t>https://query.prod.cms.rt.microsoft.com/cms/api/am/binary/RW14sJN</w:t>
        </w:r>
      </w:hyperlink>
      <w:hyperlink r:id="rId108">
        <w:r w:rsidRPr="00DA33C9">
          <w:rPr>
            <w:rFonts w:ascii="Arial" w:hAnsi="Arial" w:cs="Arial"/>
            <w:sz w:val="18"/>
            <w:szCs w:val="18"/>
            <w:u w:val="single" w:color="000000"/>
          </w:rPr>
          <w:t xml:space="preserve"> </w:t>
        </w:r>
      </w:hyperlink>
    </w:p>
  </w:footnote>
  <w:footnote w:id="15">
    <w:p w14:paraId="7A467921" w14:textId="77777777" w:rsidR="00E617E2" w:rsidRPr="006E0037" w:rsidRDefault="00E617E2" w:rsidP="00E617E2">
      <w:pPr>
        <w:pStyle w:val="footnotedescription"/>
        <w:ind w:left="144" w:right="14" w:hanging="144"/>
        <w:rPr>
          <w:rFonts w:ascii="Arial" w:hAnsi="Arial" w:cs="Arial"/>
          <w:sz w:val="18"/>
          <w:szCs w:val="18"/>
        </w:rPr>
      </w:pPr>
      <w:r w:rsidRPr="00FE29B9">
        <w:rPr>
          <w:rStyle w:val="footnotemark"/>
          <w:rFonts w:ascii="Arial" w:hAnsi="Arial" w:cs="Arial"/>
          <w:sz w:val="18"/>
          <w:szCs w:val="18"/>
        </w:rPr>
        <w:footnoteRef/>
      </w:r>
      <w:r w:rsidRPr="006E0037">
        <w:rPr>
          <w:rFonts w:ascii="Arial" w:hAnsi="Arial" w:cs="Arial"/>
          <w:sz w:val="18"/>
          <w:szCs w:val="18"/>
        </w:rPr>
        <w:t xml:space="preserve"> </w:t>
      </w:r>
      <w:hyperlink r:id="rId109">
        <w:r w:rsidRPr="00DA33C9">
          <w:rPr>
            <w:rFonts w:ascii="Arial" w:hAnsi="Arial" w:cs="Arial"/>
            <w:sz w:val="18"/>
            <w:szCs w:val="18"/>
            <w:u w:val="single"/>
          </w:rPr>
          <w:t>https://investyourvalues.org/retirement</w:t>
        </w:r>
      </w:hyperlink>
      <w:hyperlink r:id="rId110">
        <w:r w:rsidRPr="00DA33C9">
          <w:rPr>
            <w:rFonts w:ascii="Arial" w:hAnsi="Arial" w:cs="Arial"/>
            <w:sz w:val="18"/>
            <w:szCs w:val="18"/>
            <w:u w:val="single"/>
          </w:rPr>
          <w:t>-</w:t>
        </w:r>
      </w:hyperlink>
      <w:hyperlink r:id="rId111">
        <w:r w:rsidRPr="00DA33C9">
          <w:rPr>
            <w:rFonts w:ascii="Arial" w:hAnsi="Arial" w:cs="Arial"/>
            <w:sz w:val="18"/>
            <w:szCs w:val="18"/>
            <w:u w:val="single"/>
          </w:rPr>
          <w:t>plans/microsoft</w:t>
        </w:r>
      </w:hyperlink>
      <w:hyperlink r:id="rId112">
        <w:r w:rsidRPr="00DA33C9">
          <w:rPr>
            <w:rFonts w:ascii="Arial" w:hAnsi="Arial" w:cs="Arial"/>
            <w:sz w:val="18"/>
            <w:szCs w:val="18"/>
            <w:u w:val="single" w:color="000000"/>
          </w:rPr>
          <w:t xml:space="preserve"> </w:t>
        </w:r>
      </w:hyperlink>
    </w:p>
  </w:footnote>
  <w:footnote w:id="16">
    <w:p w14:paraId="7CA1E6BD" w14:textId="77777777" w:rsidR="00E617E2" w:rsidRPr="006E0037" w:rsidRDefault="00E617E2" w:rsidP="00E617E2">
      <w:pPr>
        <w:pStyle w:val="footnotedescription"/>
        <w:ind w:left="144" w:right="14" w:hanging="144"/>
        <w:rPr>
          <w:rFonts w:ascii="Arial" w:hAnsi="Arial" w:cs="Arial"/>
          <w:sz w:val="18"/>
          <w:szCs w:val="18"/>
        </w:rPr>
      </w:pPr>
      <w:r w:rsidRPr="00FE29B9">
        <w:rPr>
          <w:rStyle w:val="footnotemark"/>
          <w:rFonts w:ascii="Arial" w:hAnsi="Arial" w:cs="Arial"/>
          <w:sz w:val="18"/>
          <w:szCs w:val="18"/>
        </w:rPr>
        <w:footnoteRef/>
      </w:r>
      <w:r w:rsidRPr="006E0037">
        <w:rPr>
          <w:rFonts w:ascii="Arial" w:hAnsi="Arial" w:cs="Arial"/>
          <w:sz w:val="18"/>
          <w:szCs w:val="18"/>
        </w:rPr>
        <w:t xml:space="preserve"> </w:t>
      </w:r>
      <w:hyperlink r:id="rId113">
        <w:r w:rsidRPr="00DA33C9">
          <w:rPr>
            <w:rFonts w:ascii="Arial" w:hAnsi="Arial" w:cs="Arial"/>
            <w:sz w:val="18"/>
            <w:szCs w:val="18"/>
            <w:u w:val="single"/>
          </w:rPr>
          <w:t>https://investyourvalues.org/retirement</w:t>
        </w:r>
      </w:hyperlink>
      <w:hyperlink r:id="rId114">
        <w:r w:rsidRPr="00DA33C9">
          <w:rPr>
            <w:rFonts w:ascii="Arial" w:hAnsi="Arial" w:cs="Arial"/>
            <w:sz w:val="18"/>
            <w:szCs w:val="18"/>
            <w:u w:val="single"/>
          </w:rPr>
          <w:t>-</w:t>
        </w:r>
      </w:hyperlink>
      <w:hyperlink r:id="rId115">
        <w:r w:rsidRPr="00DA33C9">
          <w:rPr>
            <w:rFonts w:ascii="Arial" w:hAnsi="Arial" w:cs="Arial"/>
            <w:sz w:val="18"/>
            <w:szCs w:val="18"/>
            <w:u w:val="single"/>
          </w:rPr>
          <w:t>plans/microsoft</w:t>
        </w:r>
      </w:hyperlink>
      <w:hyperlink r:id="rId116">
        <w:r w:rsidRPr="00DA33C9">
          <w:rPr>
            <w:rFonts w:ascii="Arial" w:hAnsi="Arial" w:cs="Arial"/>
            <w:sz w:val="18"/>
            <w:szCs w:val="18"/>
            <w:u w:val="single" w:color="000000"/>
          </w:rPr>
          <w:t xml:space="preserve"> </w:t>
        </w:r>
      </w:hyperlink>
    </w:p>
  </w:footnote>
  <w:footnote w:id="17">
    <w:p w14:paraId="6A1DD552" w14:textId="77777777" w:rsidR="00E617E2" w:rsidRPr="006E0037" w:rsidRDefault="00E617E2" w:rsidP="00E617E2">
      <w:pPr>
        <w:pStyle w:val="footnotedescription"/>
        <w:ind w:left="144" w:right="14" w:hanging="144"/>
        <w:rPr>
          <w:rFonts w:ascii="Arial" w:hAnsi="Arial" w:cs="Arial"/>
          <w:sz w:val="18"/>
          <w:szCs w:val="18"/>
        </w:rPr>
      </w:pPr>
      <w:r w:rsidRPr="00FE29B9">
        <w:rPr>
          <w:rStyle w:val="footnotemark"/>
          <w:rFonts w:ascii="Arial" w:hAnsi="Arial" w:cs="Arial"/>
          <w:sz w:val="18"/>
          <w:szCs w:val="18"/>
        </w:rPr>
        <w:footnoteRef/>
      </w:r>
      <w:r w:rsidRPr="006E0037">
        <w:rPr>
          <w:rFonts w:ascii="Arial" w:hAnsi="Arial" w:cs="Arial"/>
          <w:sz w:val="18"/>
          <w:szCs w:val="18"/>
        </w:rPr>
        <w:t xml:space="preserve"> </w:t>
      </w:r>
      <w:hyperlink r:id="rId117">
        <w:r w:rsidRPr="00DA33C9">
          <w:rPr>
            <w:rFonts w:ascii="Arial" w:hAnsi="Arial" w:cs="Arial"/>
            <w:sz w:val="18"/>
            <w:szCs w:val="18"/>
            <w:u w:val="single"/>
          </w:rPr>
          <w:t>https://www.law.cornell.edu/cfr/text/29/2509.75</w:t>
        </w:r>
      </w:hyperlink>
      <w:hyperlink r:id="rId118">
        <w:r w:rsidRPr="00DA33C9">
          <w:rPr>
            <w:rFonts w:ascii="Arial" w:hAnsi="Arial" w:cs="Arial"/>
            <w:sz w:val="18"/>
            <w:szCs w:val="18"/>
            <w:u w:val="single"/>
          </w:rPr>
          <w:t>-</w:t>
        </w:r>
      </w:hyperlink>
      <w:hyperlink r:id="rId119">
        <w:r w:rsidRPr="00DA33C9">
          <w:rPr>
            <w:rFonts w:ascii="Arial" w:hAnsi="Arial" w:cs="Arial"/>
            <w:sz w:val="18"/>
            <w:szCs w:val="18"/>
            <w:u w:val="single"/>
          </w:rPr>
          <w:t>8</w:t>
        </w:r>
      </w:hyperlink>
      <w:hyperlink r:id="rId120">
        <w:r w:rsidRPr="00DA33C9">
          <w:rPr>
            <w:rFonts w:ascii="Arial" w:hAnsi="Arial" w:cs="Arial"/>
            <w:sz w:val="18"/>
            <w:szCs w:val="18"/>
            <w:u w:val="single" w:color="000000"/>
          </w:rPr>
          <w:t xml:space="preserve">  </w:t>
        </w:r>
      </w:hyperlink>
    </w:p>
  </w:footnote>
  <w:footnote w:id="18">
    <w:p w14:paraId="158DA3F3" w14:textId="77777777" w:rsidR="00E617E2" w:rsidRPr="006E0037" w:rsidRDefault="00E617E2" w:rsidP="00E617E2">
      <w:pPr>
        <w:pStyle w:val="footnotedescription"/>
        <w:spacing w:after="0" w:line="270" w:lineRule="auto"/>
        <w:ind w:left="144" w:right="14" w:hanging="144"/>
        <w:rPr>
          <w:rFonts w:ascii="Arial" w:hAnsi="Arial" w:cs="Arial"/>
          <w:sz w:val="18"/>
          <w:szCs w:val="18"/>
        </w:rPr>
      </w:pPr>
      <w:r w:rsidRPr="00FE29B9">
        <w:rPr>
          <w:rStyle w:val="footnotemark"/>
          <w:rFonts w:ascii="Arial" w:hAnsi="Arial" w:cs="Arial"/>
          <w:sz w:val="18"/>
          <w:szCs w:val="18"/>
        </w:rPr>
        <w:footnoteRef/>
      </w:r>
      <w:r w:rsidRPr="006E0037">
        <w:rPr>
          <w:rFonts w:ascii="Arial" w:hAnsi="Arial" w:cs="Arial"/>
          <w:sz w:val="18"/>
          <w:szCs w:val="18"/>
        </w:rPr>
        <w:t xml:space="preserve"> </w:t>
      </w:r>
      <w:hyperlink r:id="rId121">
        <w:r w:rsidRPr="00DA33C9">
          <w:rPr>
            <w:rFonts w:ascii="Arial" w:hAnsi="Arial" w:cs="Arial"/>
            <w:sz w:val="18"/>
            <w:szCs w:val="18"/>
            <w:u w:val="single"/>
          </w:rPr>
          <w:t>https://www.federalregister.gov/documents/2022/12/01/2022</w:t>
        </w:r>
      </w:hyperlink>
      <w:hyperlink r:id="rId122">
        <w:r w:rsidRPr="00DA33C9">
          <w:rPr>
            <w:rFonts w:ascii="Arial" w:hAnsi="Arial" w:cs="Arial"/>
            <w:sz w:val="18"/>
            <w:szCs w:val="18"/>
            <w:u w:val="single"/>
          </w:rPr>
          <w:t>-</w:t>
        </w:r>
      </w:hyperlink>
      <w:hyperlink r:id="rId123">
        <w:r w:rsidRPr="00DA33C9">
          <w:rPr>
            <w:rFonts w:ascii="Arial" w:hAnsi="Arial" w:cs="Arial"/>
            <w:sz w:val="18"/>
            <w:szCs w:val="18"/>
            <w:u w:val="single"/>
          </w:rPr>
          <w:t>25783/prudence</w:t>
        </w:r>
      </w:hyperlink>
      <w:hyperlink r:id="rId124">
        <w:r w:rsidRPr="00DA33C9">
          <w:rPr>
            <w:rFonts w:ascii="Arial" w:hAnsi="Arial" w:cs="Arial"/>
            <w:sz w:val="18"/>
            <w:szCs w:val="18"/>
            <w:u w:val="single"/>
          </w:rPr>
          <w:t>-</w:t>
        </w:r>
      </w:hyperlink>
      <w:hyperlink r:id="rId125">
        <w:r w:rsidRPr="00DA33C9">
          <w:rPr>
            <w:rFonts w:ascii="Arial" w:hAnsi="Arial" w:cs="Arial"/>
            <w:sz w:val="18"/>
            <w:szCs w:val="18"/>
            <w:u w:val="single"/>
          </w:rPr>
          <w:t>and</w:t>
        </w:r>
      </w:hyperlink>
      <w:hyperlink r:id="rId126">
        <w:r w:rsidRPr="00DA33C9">
          <w:rPr>
            <w:rFonts w:ascii="Arial" w:hAnsi="Arial" w:cs="Arial"/>
            <w:sz w:val="18"/>
            <w:szCs w:val="18"/>
            <w:u w:val="single"/>
          </w:rPr>
          <w:t>-</w:t>
        </w:r>
      </w:hyperlink>
      <w:hyperlink r:id="rId127">
        <w:r w:rsidRPr="00DA33C9">
          <w:rPr>
            <w:rFonts w:ascii="Arial" w:hAnsi="Arial" w:cs="Arial"/>
            <w:sz w:val="18"/>
            <w:szCs w:val="18"/>
            <w:u w:val="single"/>
          </w:rPr>
          <w:t>loyalty</w:t>
        </w:r>
      </w:hyperlink>
      <w:hyperlink r:id="rId128">
        <w:r w:rsidRPr="00DA33C9">
          <w:rPr>
            <w:rFonts w:ascii="Arial" w:hAnsi="Arial" w:cs="Arial"/>
            <w:sz w:val="18"/>
            <w:szCs w:val="18"/>
            <w:u w:val="single"/>
          </w:rPr>
          <w:t>-</w:t>
        </w:r>
      </w:hyperlink>
      <w:hyperlink r:id="rId129">
        <w:r w:rsidRPr="00DA33C9">
          <w:rPr>
            <w:rFonts w:ascii="Arial" w:hAnsi="Arial" w:cs="Arial"/>
            <w:sz w:val="18"/>
            <w:szCs w:val="18"/>
            <w:u w:val="single"/>
          </w:rPr>
          <w:t>in</w:t>
        </w:r>
      </w:hyperlink>
      <w:hyperlink r:id="rId130">
        <w:r w:rsidRPr="00DA33C9">
          <w:rPr>
            <w:rFonts w:ascii="Arial" w:hAnsi="Arial" w:cs="Arial"/>
            <w:sz w:val="18"/>
            <w:szCs w:val="18"/>
            <w:u w:val="single"/>
          </w:rPr>
          <w:t>-</w:t>
        </w:r>
      </w:hyperlink>
      <w:hyperlink r:id="rId131">
        <w:r w:rsidRPr="00DA33C9">
          <w:rPr>
            <w:rFonts w:ascii="Arial" w:hAnsi="Arial" w:cs="Arial"/>
            <w:sz w:val="18"/>
            <w:szCs w:val="18"/>
            <w:u w:val="single"/>
          </w:rPr>
          <w:t>selecting</w:t>
        </w:r>
      </w:hyperlink>
      <w:hyperlink r:id="rId132">
        <w:r w:rsidRPr="00DA33C9">
          <w:rPr>
            <w:rFonts w:ascii="Arial" w:hAnsi="Arial" w:cs="Arial"/>
            <w:sz w:val="18"/>
            <w:szCs w:val="18"/>
            <w:u w:val="single"/>
          </w:rPr>
          <w:t>-</w:t>
        </w:r>
      </w:hyperlink>
      <w:hyperlink r:id="rId133">
        <w:r w:rsidRPr="00DA33C9">
          <w:rPr>
            <w:rFonts w:ascii="Arial" w:hAnsi="Arial" w:cs="Arial"/>
            <w:sz w:val="18"/>
            <w:szCs w:val="18"/>
            <w:u w:val="single"/>
          </w:rPr>
          <w:t>plan</w:t>
        </w:r>
      </w:hyperlink>
      <w:r w:rsidRPr="00DA33C9">
        <w:rPr>
          <w:rFonts w:ascii="Arial" w:hAnsi="Arial" w:cs="Arial"/>
          <w:sz w:val="18"/>
          <w:szCs w:val="18"/>
          <w:u w:val="single"/>
        </w:rPr>
        <w:t>-</w:t>
      </w:r>
      <w:hyperlink r:id="rId134">
        <w:r w:rsidRPr="00DA33C9">
          <w:rPr>
            <w:rFonts w:ascii="Arial" w:hAnsi="Arial" w:cs="Arial"/>
            <w:sz w:val="18"/>
            <w:szCs w:val="18"/>
            <w:u w:val="single"/>
          </w:rPr>
          <w:t>investments</w:t>
        </w:r>
      </w:hyperlink>
      <w:hyperlink r:id="rId135">
        <w:r w:rsidRPr="00DA33C9">
          <w:rPr>
            <w:rFonts w:ascii="Arial" w:hAnsi="Arial" w:cs="Arial"/>
            <w:sz w:val="18"/>
            <w:szCs w:val="18"/>
            <w:u w:val="single"/>
          </w:rPr>
          <w:t>-</w:t>
        </w:r>
      </w:hyperlink>
      <w:hyperlink r:id="rId136">
        <w:r w:rsidRPr="00DA33C9">
          <w:rPr>
            <w:rFonts w:ascii="Arial" w:hAnsi="Arial" w:cs="Arial"/>
            <w:sz w:val="18"/>
            <w:szCs w:val="18"/>
            <w:u w:val="single"/>
          </w:rPr>
          <w:t>and</w:t>
        </w:r>
      </w:hyperlink>
      <w:hyperlink r:id="rId137">
        <w:r w:rsidRPr="00DA33C9">
          <w:rPr>
            <w:rFonts w:ascii="Arial" w:hAnsi="Arial" w:cs="Arial"/>
            <w:sz w:val="18"/>
            <w:szCs w:val="18"/>
            <w:u w:val="single"/>
          </w:rPr>
          <w:t>-</w:t>
        </w:r>
      </w:hyperlink>
      <w:hyperlink r:id="rId138">
        <w:r w:rsidRPr="00DA33C9">
          <w:rPr>
            <w:rFonts w:ascii="Arial" w:hAnsi="Arial" w:cs="Arial"/>
            <w:sz w:val="18"/>
            <w:szCs w:val="18"/>
            <w:u w:val="single"/>
          </w:rPr>
          <w:t>exercising</w:t>
        </w:r>
      </w:hyperlink>
      <w:hyperlink r:id="rId139">
        <w:r w:rsidRPr="00DA33C9">
          <w:rPr>
            <w:rFonts w:ascii="Arial" w:hAnsi="Arial" w:cs="Arial"/>
            <w:sz w:val="18"/>
            <w:szCs w:val="18"/>
            <w:u w:val="single"/>
          </w:rPr>
          <w:t>-</w:t>
        </w:r>
      </w:hyperlink>
      <w:hyperlink r:id="rId140">
        <w:r w:rsidRPr="00DA33C9">
          <w:rPr>
            <w:rFonts w:ascii="Arial" w:hAnsi="Arial" w:cs="Arial"/>
            <w:sz w:val="18"/>
            <w:szCs w:val="18"/>
            <w:u w:val="single"/>
          </w:rPr>
          <w:t>shareholder</w:t>
        </w:r>
      </w:hyperlink>
      <w:hyperlink r:id="rId141">
        <w:r w:rsidRPr="00DA33C9">
          <w:rPr>
            <w:rFonts w:ascii="Arial" w:hAnsi="Arial" w:cs="Arial"/>
            <w:sz w:val="18"/>
            <w:szCs w:val="18"/>
            <w:u w:val="single"/>
          </w:rPr>
          <w:t>-</w:t>
        </w:r>
      </w:hyperlink>
      <w:hyperlink r:id="rId142">
        <w:r w:rsidRPr="00DA33C9">
          <w:rPr>
            <w:rFonts w:ascii="Arial" w:hAnsi="Arial" w:cs="Arial"/>
            <w:sz w:val="18"/>
            <w:szCs w:val="18"/>
            <w:u w:val="single"/>
          </w:rPr>
          <w:t>rights</w:t>
        </w:r>
      </w:hyperlink>
      <w:hyperlink r:id="rId143">
        <w:r w:rsidRPr="00DA33C9">
          <w:rPr>
            <w:rFonts w:ascii="Arial" w:hAnsi="Arial" w:cs="Arial"/>
            <w:sz w:val="18"/>
            <w:szCs w:val="18"/>
            <w:u w:val="single" w:color="000000"/>
          </w:rPr>
          <w:t xml:space="preserve"> </w:t>
        </w:r>
      </w:hyperlink>
    </w:p>
  </w:footnote>
  <w:footnote w:id="19">
    <w:p w14:paraId="75D77019" w14:textId="77777777" w:rsidR="00E617E2" w:rsidRPr="006E0037" w:rsidRDefault="00E617E2" w:rsidP="00E617E2">
      <w:pPr>
        <w:pStyle w:val="footnotedescription"/>
        <w:spacing w:after="21" w:line="243" w:lineRule="auto"/>
        <w:ind w:left="144" w:right="14" w:hanging="144"/>
        <w:rPr>
          <w:rFonts w:ascii="Arial" w:hAnsi="Arial" w:cs="Arial"/>
          <w:sz w:val="18"/>
          <w:szCs w:val="18"/>
        </w:rPr>
      </w:pPr>
      <w:r w:rsidRPr="00FE29B9">
        <w:rPr>
          <w:rStyle w:val="footnotemark"/>
          <w:rFonts w:ascii="Arial" w:hAnsi="Arial" w:cs="Arial"/>
          <w:sz w:val="18"/>
          <w:szCs w:val="18"/>
        </w:rPr>
        <w:footnoteRef/>
      </w:r>
      <w:r w:rsidRPr="006E0037">
        <w:rPr>
          <w:rFonts w:ascii="Arial" w:hAnsi="Arial" w:cs="Arial"/>
          <w:sz w:val="18"/>
          <w:szCs w:val="18"/>
        </w:rPr>
        <w:t xml:space="preserve"> </w:t>
      </w:r>
      <w:hyperlink r:id="rId144">
        <w:r w:rsidRPr="00DA33C9">
          <w:rPr>
            <w:rFonts w:ascii="Arial" w:hAnsi="Arial" w:cs="Arial"/>
            <w:sz w:val="18"/>
            <w:szCs w:val="18"/>
            <w:u w:val="single"/>
          </w:rPr>
          <w:t>https://www.shrm.org/resourcesandtools/hr</w:t>
        </w:r>
      </w:hyperlink>
      <w:hyperlink r:id="rId145">
        <w:r w:rsidRPr="00DA33C9">
          <w:rPr>
            <w:rFonts w:ascii="Arial" w:hAnsi="Arial" w:cs="Arial"/>
            <w:sz w:val="18"/>
            <w:szCs w:val="18"/>
            <w:u w:val="single"/>
          </w:rPr>
          <w:t>-</w:t>
        </w:r>
      </w:hyperlink>
      <w:hyperlink r:id="rId146">
        <w:r w:rsidRPr="00DA33C9">
          <w:rPr>
            <w:rFonts w:ascii="Arial" w:hAnsi="Arial" w:cs="Arial"/>
            <w:sz w:val="18"/>
            <w:szCs w:val="18"/>
            <w:u w:val="single"/>
          </w:rPr>
          <w:t>topics/talent</w:t>
        </w:r>
      </w:hyperlink>
      <w:hyperlink r:id="rId147">
        <w:r w:rsidRPr="00DA33C9">
          <w:rPr>
            <w:rFonts w:ascii="Arial" w:hAnsi="Arial" w:cs="Arial"/>
            <w:sz w:val="18"/>
            <w:szCs w:val="18"/>
            <w:u w:val="single"/>
          </w:rPr>
          <w:t>-</w:t>
        </w:r>
      </w:hyperlink>
      <w:hyperlink r:id="rId148">
        <w:r w:rsidRPr="00DA33C9">
          <w:rPr>
            <w:rFonts w:ascii="Arial" w:hAnsi="Arial" w:cs="Arial"/>
            <w:sz w:val="18"/>
            <w:szCs w:val="18"/>
            <w:u w:val="single"/>
          </w:rPr>
          <w:t>acquisition/pages/climate</w:t>
        </w:r>
      </w:hyperlink>
      <w:hyperlink r:id="rId149">
        <w:r w:rsidRPr="00DA33C9">
          <w:rPr>
            <w:rFonts w:ascii="Arial" w:hAnsi="Arial" w:cs="Arial"/>
            <w:sz w:val="18"/>
            <w:szCs w:val="18"/>
            <w:u w:val="single"/>
          </w:rPr>
          <w:t>-</w:t>
        </w:r>
      </w:hyperlink>
      <w:hyperlink r:id="rId150">
        <w:r w:rsidRPr="00DA33C9">
          <w:rPr>
            <w:rFonts w:ascii="Arial" w:hAnsi="Arial" w:cs="Arial"/>
            <w:sz w:val="18"/>
            <w:szCs w:val="18"/>
            <w:u w:val="single"/>
          </w:rPr>
          <w:t>change</w:t>
        </w:r>
      </w:hyperlink>
      <w:hyperlink r:id="rId151">
        <w:r w:rsidRPr="00DA33C9">
          <w:rPr>
            <w:rFonts w:ascii="Arial" w:hAnsi="Arial" w:cs="Arial"/>
            <w:sz w:val="18"/>
            <w:szCs w:val="18"/>
            <w:u w:val="single"/>
          </w:rPr>
          <w:t>-</w:t>
        </w:r>
      </w:hyperlink>
      <w:hyperlink r:id="rId152">
        <w:r w:rsidRPr="00DA33C9">
          <w:rPr>
            <w:rFonts w:ascii="Arial" w:hAnsi="Arial" w:cs="Arial"/>
            <w:sz w:val="18"/>
            <w:szCs w:val="18"/>
            <w:u w:val="single"/>
          </w:rPr>
          <w:t>branding</w:t>
        </w:r>
      </w:hyperlink>
      <w:hyperlink r:id="rId153">
        <w:r w:rsidRPr="00DA33C9">
          <w:rPr>
            <w:rFonts w:ascii="Arial" w:hAnsi="Arial" w:cs="Arial"/>
            <w:sz w:val="18"/>
            <w:szCs w:val="18"/>
            <w:u w:val="single"/>
          </w:rPr>
          <w:t>-</w:t>
        </w:r>
      </w:hyperlink>
      <w:hyperlink r:id="rId154">
        <w:r w:rsidRPr="00DA33C9">
          <w:rPr>
            <w:rFonts w:ascii="Arial" w:hAnsi="Arial" w:cs="Arial"/>
            <w:sz w:val="18"/>
            <w:szCs w:val="18"/>
            <w:u w:val="single"/>
          </w:rPr>
          <w:t>can</w:t>
        </w:r>
      </w:hyperlink>
      <w:hyperlink r:id="rId155">
        <w:r w:rsidRPr="00DA33C9">
          <w:rPr>
            <w:rFonts w:ascii="Arial" w:hAnsi="Arial" w:cs="Arial"/>
            <w:sz w:val="18"/>
            <w:szCs w:val="18"/>
            <w:u w:val="single"/>
          </w:rPr>
          <w:t>-</w:t>
        </w:r>
      </w:hyperlink>
      <w:hyperlink r:id="rId156">
        <w:r w:rsidRPr="00DA33C9">
          <w:rPr>
            <w:rFonts w:ascii="Arial" w:hAnsi="Arial" w:cs="Arial"/>
            <w:sz w:val="18"/>
            <w:szCs w:val="18"/>
            <w:u w:val="single"/>
          </w:rPr>
          <w:t>lift</w:t>
        </w:r>
      </w:hyperlink>
      <w:hyperlink r:id="rId157" w:history="1">
        <w:r w:rsidRPr="00DA33C9">
          <w:rPr>
            <w:rStyle w:val="Hyperlink"/>
            <w:rFonts w:cs="Arial"/>
            <w:szCs w:val="18"/>
          </w:rPr>
          <w:t>-</w:t>
        </w:r>
      </w:hyperlink>
      <w:hyperlink r:id="rId158">
        <w:r w:rsidRPr="00DA33C9">
          <w:rPr>
            <w:rFonts w:ascii="Arial" w:hAnsi="Arial" w:cs="Arial"/>
            <w:sz w:val="18"/>
            <w:szCs w:val="18"/>
            <w:u w:val="single"/>
          </w:rPr>
          <w:t>recruitment</w:t>
        </w:r>
      </w:hyperlink>
      <w:hyperlink r:id="rId159">
        <w:r w:rsidRPr="00DA33C9">
          <w:rPr>
            <w:rFonts w:ascii="Arial" w:hAnsi="Arial" w:cs="Arial"/>
            <w:sz w:val="18"/>
            <w:szCs w:val="18"/>
            <w:u w:val="single"/>
          </w:rPr>
          <w:t>-</w:t>
        </w:r>
      </w:hyperlink>
      <w:hyperlink r:id="rId160">
        <w:r w:rsidRPr="00DA33C9">
          <w:rPr>
            <w:rFonts w:ascii="Arial" w:hAnsi="Arial" w:cs="Arial"/>
            <w:sz w:val="18"/>
            <w:szCs w:val="18"/>
            <w:u w:val="single"/>
          </w:rPr>
          <w:t>and</w:t>
        </w:r>
      </w:hyperlink>
      <w:hyperlink r:id="rId161">
        <w:r w:rsidRPr="00DA33C9">
          <w:rPr>
            <w:rFonts w:ascii="Arial" w:hAnsi="Arial" w:cs="Arial"/>
            <w:sz w:val="18"/>
            <w:szCs w:val="18"/>
            <w:u w:val="single"/>
          </w:rPr>
          <w:t>-</w:t>
        </w:r>
      </w:hyperlink>
      <w:hyperlink r:id="rId162">
        <w:r w:rsidRPr="00DA33C9">
          <w:rPr>
            <w:rFonts w:ascii="Arial" w:hAnsi="Arial" w:cs="Arial"/>
            <w:sz w:val="18"/>
            <w:szCs w:val="18"/>
            <w:u w:val="single"/>
          </w:rPr>
          <w:t>retention.aspx</w:t>
        </w:r>
      </w:hyperlink>
      <w:hyperlink r:id="rId163">
        <w:r w:rsidRPr="00DA33C9">
          <w:rPr>
            <w:rFonts w:ascii="Arial" w:hAnsi="Arial" w:cs="Arial"/>
            <w:sz w:val="18"/>
            <w:szCs w:val="18"/>
            <w:u w:val="single" w:color="000000"/>
          </w:rPr>
          <w:t xml:space="preserve"> </w:t>
        </w:r>
      </w:hyperlink>
    </w:p>
  </w:footnote>
  <w:footnote w:id="20">
    <w:p w14:paraId="64F47294" w14:textId="77777777" w:rsidR="00E617E2" w:rsidRDefault="00E617E2" w:rsidP="00E617E2">
      <w:pPr>
        <w:pStyle w:val="footnotedescription"/>
        <w:spacing w:after="250"/>
        <w:ind w:left="144" w:right="14" w:hanging="144"/>
      </w:pPr>
      <w:r w:rsidRPr="00FE29B9">
        <w:rPr>
          <w:rStyle w:val="footnotemark"/>
          <w:rFonts w:ascii="Arial" w:hAnsi="Arial" w:cs="Arial"/>
          <w:sz w:val="18"/>
          <w:szCs w:val="18"/>
        </w:rPr>
        <w:footnoteRef/>
      </w:r>
      <w:r w:rsidRPr="006E0037">
        <w:rPr>
          <w:rFonts w:ascii="Arial" w:hAnsi="Arial" w:cs="Arial"/>
          <w:sz w:val="18"/>
          <w:szCs w:val="18"/>
        </w:rPr>
        <w:t xml:space="preserve"> </w:t>
      </w:r>
      <w:hyperlink r:id="rId164">
        <w:r w:rsidRPr="00DA33C9">
          <w:rPr>
            <w:rFonts w:ascii="Arial" w:hAnsi="Arial" w:cs="Arial"/>
            <w:sz w:val="18"/>
            <w:szCs w:val="18"/>
            <w:u w:val="single"/>
          </w:rPr>
          <w:t>https://www.cnbc.com/2019/04/09/workers</w:t>
        </w:r>
      </w:hyperlink>
      <w:hyperlink r:id="rId165">
        <w:r w:rsidRPr="00DA33C9">
          <w:rPr>
            <w:rFonts w:ascii="Arial" w:hAnsi="Arial" w:cs="Arial"/>
            <w:sz w:val="18"/>
            <w:szCs w:val="18"/>
            <w:u w:val="single"/>
          </w:rPr>
          <w:t>-</w:t>
        </w:r>
      </w:hyperlink>
      <w:hyperlink r:id="rId166">
        <w:r w:rsidRPr="00DA33C9">
          <w:rPr>
            <w:rFonts w:ascii="Arial" w:hAnsi="Arial" w:cs="Arial"/>
            <w:sz w:val="18"/>
            <w:szCs w:val="18"/>
            <w:u w:val="single"/>
          </w:rPr>
          <w:t>want</w:t>
        </w:r>
      </w:hyperlink>
      <w:hyperlink r:id="rId167">
        <w:r w:rsidRPr="00DA33C9">
          <w:rPr>
            <w:rFonts w:ascii="Arial" w:hAnsi="Arial" w:cs="Arial"/>
            <w:sz w:val="18"/>
            <w:szCs w:val="18"/>
            <w:u w:val="single"/>
          </w:rPr>
          <w:t>-</w:t>
        </w:r>
      </w:hyperlink>
      <w:hyperlink r:id="rId168">
        <w:r w:rsidRPr="00DA33C9">
          <w:rPr>
            <w:rFonts w:ascii="Arial" w:hAnsi="Arial" w:cs="Arial"/>
            <w:sz w:val="18"/>
            <w:szCs w:val="18"/>
            <w:u w:val="single"/>
          </w:rPr>
          <w:t>elusive</w:t>
        </w:r>
      </w:hyperlink>
      <w:hyperlink r:id="rId169">
        <w:r w:rsidRPr="00DA33C9">
          <w:rPr>
            <w:rFonts w:ascii="Arial" w:hAnsi="Arial" w:cs="Arial"/>
            <w:sz w:val="18"/>
            <w:szCs w:val="18"/>
            <w:u w:val="single"/>
          </w:rPr>
          <w:t>-</w:t>
        </w:r>
      </w:hyperlink>
      <w:hyperlink r:id="rId170">
        <w:r w:rsidRPr="00DA33C9">
          <w:rPr>
            <w:rFonts w:ascii="Arial" w:hAnsi="Arial" w:cs="Arial"/>
            <w:sz w:val="18"/>
            <w:szCs w:val="18"/>
            <w:u w:val="single"/>
          </w:rPr>
          <w:t>socially</w:t>
        </w:r>
      </w:hyperlink>
      <w:hyperlink r:id="rId171">
        <w:r w:rsidRPr="00DA33C9">
          <w:rPr>
            <w:rFonts w:ascii="Arial" w:hAnsi="Arial" w:cs="Arial"/>
            <w:sz w:val="18"/>
            <w:szCs w:val="18"/>
            <w:u w:val="single"/>
          </w:rPr>
          <w:t>-</w:t>
        </w:r>
      </w:hyperlink>
      <w:hyperlink r:id="rId172">
        <w:r w:rsidRPr="00DA33C9">
          <w:rPr>
            <w:rFonts w:ascii="Arial" w:hAnsi="Arial" w:cs="Arial"/>
            <w:sz w:val="18"/>
            <w:szCs w:val="18"/>
            <w:u w:val="single"/>
          </w:rPr>
          <w:t>responsible</w:t>
        </w:r>
      </w:hyperlink>
      <w:hyperlink r:id="rId173">
        <w:r w:rsidRPr="00DA33C9">
          <w:rPr>
            <w:rFonts w:ascii="Arial" w:hAnsi="Arial" w:cs="Arial"/>
            <w:sz w:val="18"/>
            <w:szCs w:val="18"/>
            <w:u w:val="single"/>
          </w:rPr>
          <w:t>-</w:t>
        </w:r>
      </w:hyperlink>
      <w:hyperlink r:id="rId174">
        <w:r w:rsidRPr="00DA33C9">
          <w:rPr>
            <w:rFonts w:ascii="Arial" w:hAnsi="Arial" w:cs="Arial"/>
            <w:sz w:val="18"/>
            <w:szCs w:val="18"/>
            <w:u w:val="single"/>
          </w:rPr>
          <w:t>investments</w:t>
        </w:r>
      </w:hyperlink>
      <w:hyperlink r:id="rId175">
        <w:r w:rsidRPr="00DA33C9">
          <w:rPr>
            <w:rFonts w:ascii="Arial" w:hAnsi="Arial" w:cs="Arial"/>
            <w:sz w:val="18"/>
            <w:szCs w:val="18"/>
            <w:u w:val="single"/>
          </w:rPr>
          <w:t>-</w:t>
        </w:r>
      </w:hyperlink>
      <w:hyperlink r:id="rId176">
        <w:r w:rsidRPr="00DA33C9">
          <w:rPr>
            <w:rFonts w:ascii="Arial" w:hAnsi="Arial" w:cs="Arial"/>
            <w:sz w:val="18"/>
            <w:szCs w:val="18"/>
            <w:u w:val="single"/>
          </w:rPr>
          <w:t>in</w:t>
        </w:r>
      </w:hyperlink>
      <w:hyperlink r:id="rId177">
        <w:r w:rsidRPr="00DA33C9">
          <w:rPr>
            <w:rFonts w:ascii="Arial" w:hAnsi="Arial" w:cs="Arial"/>
            <w:sz w:val="18"/>
            <w:szCs w:val="18"/>
            <w:u w:val="single"/>
          </w:rPr>
          <w:t>-</w:t>
        </w:r>
      </w:hyperlink>
      <w:hyperlink r:id="rId178">
        <w:r w:rsidRPr="00DA33C9">
          <w:rPr>
            <w:rFonts w:ascii="Arial" w:hAnsi="Arial" w:cs="Arial"/>
            <w:sz w:val="18"/>
            <w:szCs w:val="18"/>
            <w:u w:val="single"/>
          </w:rPr>
          <w:t>401k</w:t>
        </w:r>
      </w:hyperlink>
      <w:hyperlink r:id="rId179">
        <w:r w:rsidRPr="00DA33C9">
          <w:rPr>
            <w:rFonts w:ascii="Arial" w:hAnsi="Arial" w:cs="Arial"/>
            <w:sz w:val="18"/>
            <w:szCs w:val="18"/>
            <w:u w:val="single"/>
          </w:rPr>
          <w:t>-</w:t>
        </w:r>
      </w:hyperlink>
      <w:hyperlink r:id="rId180">
        <w:r w:rsidRPr="00DA33C9">
          <w:rPr>
            <w:rFonts w:ascii="Arial" w:hAnsi="Arial" w:cs="Arial"/>
            <w:sz w:val="18"/>
            <w:szCs w:val="18"/>
            <w:u w:val="single"/>
          </w:rPr>
          <w:t>survey.html</w:t>
        </w:r>
      </w:hyperlink>
      <w:hyperlink r:id="rId181">
        <w:r w:rsidRPr="00DA33C9">
          <w:rPr>
            <w:rFonts w:ascii="Arial" w:hAnsi="Arial" w:cs="Arial"/>
            <w:sz w:val="18"/>
            <w:szCs w:val="18"/>
            <w:u w:val="single" w:color="000000"/>
          </w:rPr>
          <w:t xml:space="preserve"> </w:t>
        </w:r>
      </w:hyperlink>
    </w:p>
    <w:p w14:paraId="10DC8F94" w14:textId="77777777" w:rsidR="00E617E2" w:rsidRDefault="00E617E2" w:rsidP="00E617E2">
      <w:pPr>
        <w:pStyle w:val="footnotedescription"/>
      </w:pPr>
      <w:r>
        <w:rPr>
          <w:sz w:val="24"/>
          <w:u w:color="000000"/>
        </w:rPr>
        <w:t xml:space="preserve"> </w:t>
      </w:r>
    </w:p>
    <w:p w14:paraId="787CE53F" w14:textId="77777777" w:rsidR="00E617E2" w:rsidRDefault="00E617E2" w:rsidP="00E617E2">
      <w:pPr>
        <w:pStyle w:val="footnotedescription"/>
        <w:ind w:left="671"/>
        <w:jc w:val="center"/>
      </w:pPr>
    </w:p>
  </w:footnote>
  <w:footnote w:id="21">
    <w:p w14:paraId="6A73A2D6" w14:textId="77777777" w:rsidR="00E617E2" w:rsidRPr="00AD1DF3" w:rsidRDefault="00E617E2" w:rsidP="00E617E2">
      <w:pPr>
        <w:pStyle w:val="FootnoteText"/>
        <w:ind w:left="144" w:hanging="144"/>
        <w:rPr>
          <w:rFonts w:ascii="Arial" w:hAnsi="Arial" w:cs="Arial"/>
          <w:sz w:val="18"/>
          <w:szCs w:val="18"/>
          <w:u w:val="single"/>
        </w:rPr>
      </w:pPr>
      <w:r w:rsidRPr="00FE29B9">
        <w:rPr>
          <w:rStyle w:val="FootnoteReference"/>
          <w:rFonts w:ascii="Arial" w:hAnsi="Arial" w:cs="Arial"/>
          <w:sz w:val="18"/>
          <w:szCs w:val="18"/>
        </w:rPr>
        <w:footnoteRef/>
      </w:r>
      <w:r w:rsidRPr="0082225F">
        <w:rPr>
          <w:rFonts w:ascii="Arial" w:hAnsi="Arial" w:cs="Arial"/>
          <w:sz w:val="18"/>
          <w:szCs w:val="18"/>
        </w:rPr>
        <w:t xml:space="preserve"> </w:t>
      </w:r>
      <w:r>
        <w:rPr>
          <w:rFonts w:ascii="Arial" w:hAnsi="Arial" w:cs="Arial"/>
          <w:sz w:val="18"/>
          <w:szCs w:val="18"/>
        </w:rPr>
        <w:t>A</w:t>
      </w:r>
      <w:r w:rsidRPr="0082225F">
        <w:rPr>
          <w:rFonts w:ascii="Arial" w:hAnsi="Arial" w:cs="Arial"/>
          <w:sz w:val="18"/>
          <w:szCs w:val="18"/>
        </w:rPr>
        <w:t>t least two lawsuits</w:t>
      </w:r>
      <w:r>
        <w:rPr>
          <w:rFonts w:ascii="Arial" w:hAnsi="Arial" w:cs="Arial"/>
          <w:sz w:val="18"/>
          <w:szCs w:val="18"/>
        </w:rPr>
        <w:t xml:space="preserve"> have been filed</w:t>
      </w:r>
      <w:r w:rsidRPr="0082225F">
        <w:rPr>
          <w:rFonts w:ascii="Arial" w:hAnsi="Arial" w:cs="Arial"/>
          <w:sz w:val="18"/>
          <w:szCs w:val="18"/>
        </w:rPr>
        <w:t xml:space="preserve">, in separate federal district courts, that seek to invalidate the Department of Labor’s amended final rules. </w:t>
      </w:r>
      <w:r w:rsidRPr="0082225F">
        <w:rPr>
          <w:rFonts w:ascii="Arial" w:hAnsi="Arial" w:cs="Arial"/>
          <w:i/>
          <w:iCs/>
          <w:sz w:val="18"/>
          <w:szCs w:val="18"/>
        </w:rPr>
        <w:t>See Utah</w:t>
      </w:r>
      <w:r w:rsidRPr="0082225F">
        <w:rPr>
          <w:rFonts w:ascii="Arial" w:hAnsi="Arial" w:cs="Arial"/>
          <w:sz w:val="18"/>
          <w:szCs w:val="18"/>
        </w:rPr>
        <w:t xml:space="preserve">, </w:t>
      </w:r>
      <w:r w:rsidRPr="0082225F">
        <w:rPr>
          <w:rFonts w:ascii="Arial" w:hAnsi="Arial" w:cs="Arial"/>
          <w:i/>
          <w:iCs/>
          <w:sz w:val="18"/>
          <w:szCs w:val="18"/>
        </w:rPr>
        <w:t>et. al</w:t>
      </w:r>
      <w:r w:rsidRPr="0082225F">
        <w:rPr>
          <w:rFonts w:ascii="Arial" w:hAnsi="Arial" w:cs="Arial"/>
          <w:sz w:val="18"/>
          <w:szCs w:val="18"/>
        </w:rPr>
        <w:t>.</w:t>
      </w:r>
      <w:r w:rsidRPr="0082225F">
        <w:rPr>
          <w:rFonts w:ascii="Arial" w:hAnsi="Arial" w:cs="Arial"/>
          <w:i/>
          <w:iCs/>
          <w:sz w:val="18"/>
          <w:szCs w:val="18"/>
        </w:rPr>
        <w:t xml:space="preserve"> v. Walsh</w:t>
      </w:r>
      <w:r w:rsidRPr="0082225F">
        <w:rPr>
          <w:rFonts w:ascii="Arial" w:hAnsi="Arial" w:cs="Arial"/>
          <w:sz w:val="18"/>
          <w:szCs w:val="18"/>
        </w:rPr>
        <w:t xml:space="preserve">, No. 2:23-cv-00016-Z (N.D. Tex. filed Jan. 26, 2023); </w:t>
      </w:r>
      <w:r w:rsidRPr="0082225F">
        <w:rPr>
          <w:rFonts w:ascii="Arial" w:hAnsi="Arial" w:cs="Arial"/>
          <w:i/>
          <w:iCs/>
          <w:sz w:val="18"/>
          <w:szCs w:val="18"/>
        </w:rPr>
        <w:t>Braun and Luehrs III v. Walsh</w:t>
      </w:r>
      <w:r w:rsidRPr="0082225F">
        <w:rPr>
          <w:rFonts w:ascii="Arial" w:hAnsi="Arial" w:cs="Arial"/>
          <w:sz w:val="18"/>
          <w:szCs w:val="18"/>
        </w:rPr>
        <w:t>, Case No. 23-cv-234 (D. Wis. filed Feb. 21, 2023).</w:t>
      </w:r>
      <w:r>
        <w:rPr>
          <w:rFonts w:ascii="Arial" w:hAnsi="Arial" w:cs="Arial"/>
          <w:sz w:val="18"/>
          <w:szCs w:val="18"/>
        </w:rPr>
        <w:t xml:space="preserve"> The court in </w:t>
      </w:r>
      <w:r>
        <w:rPr>
          <w:rFonts w:ascii="Arial" w:hAnsi="Arial" w:cs="Arial"/>
          <w:i/>
          <w:iCs/>
          <w:sz w:val="18"/>
          <w:szCs w:val="18"/>
        </w:rPr>
        <w:t xml:space="preserve">Utah, et. Al. v. Walsh </w:t>
      </w:r>
      <w:r>
        <w:rPr>
          <w:rFonts w:ascii="Arial" w:hAnsi="Arial" w:cs="Arial"/>
          <w:sz w:val="18"/>
          <w:szCs w:val="18"/>
        </w:rPr>
        <w:t>denied the plaintiff’s Motion for Summary Judgment, and granted the Secretary of Labor’s Cross-Motion for Summary Judgment, on September 21, 2023.</w:t>
      </w:r>
    </w:p>
  </w:footnote>
  <w:footnote w:id="22">
    <w:p w14:paraId="713ADCCE" w14:textId="77777777" w:rsidR="00E617E2" w:rsidRPr="00032C71" w:rsidRDefault="00E617E2" w:rsidP="00E617E2">
      <w:pPr>
        <w:pStyle w:val="footnotedescription"/>
        <w:ind w:left="144" w:hanging="144"/>
        <w:rPr>
          <w:rFonts w:ascii="Arial" w:hAnsi="Arial" w:cs="Arial"/>
          <w:sz w:val="18"/>
          <w:szCs w:val="18"/>
        </w:rPr>
      </w:pPr>
      <w:r w:rsidRPr="00FE29B9">
        <w:rPr>
          <w:rStyle w:val="footnotemark"/>
          <w:rFonts w:ascii="Arial" w:hAnsi="Arial" w:cs="Arial"/>
          <w:sz w:val="18"/>
          <w:szCs w:val="18"/>
        </w:rPr>
        <w:footnoteRef/>
      </w:r>
      <w:r w:rsidRPr="00032C71">
        <w:rPr>
          <w:rFonts w:ascii="Arial" w:hAnsi="Arial" w:cs="Arial"/>
          <w:sz w:val="18"/>
          <w:szCs w:val="18"/>
        </w:rPr>
        <w:t xml:space="preserve"> </w:t>
      </w:r>
      <w:r w:rsidRPr="00032C71">
        <w:rPr>
          <w:rFonts w:ascii="Arial" w:hAnsi="Arial" w:cs="Arial"/>
          <w:sz w:val="18"/>
          <w:szCs w:val="18"/>
          <w:u w:val="single"/>
        </w:rPr>
        <w:t>https://thefactcoalition.org/trillions-at-stake-behind-the-numbers-at-play-in-u-s-international-corporate-tax-reform/</w:t>
      </w:r>
      <w:r w:rsidRPr="00032C71">
        <w:rPr>
          <w:rFonts w:ascii="Arial" w:eastAsia="Calibri" w:hAnsi="Arial" w:cs="Arial"/>
          <w:b/>
          <w:sz w:val="18"/>
          <w:szCs w:val="18"/>
          <w:u w:val="single" w:color="000000"/>
        </w:rPr>
        <w:t>.</w:t>
      </w:r>
      <w:r w:rsidRPr="00032C71">
        <w:rPr>
          <w:rFonts w:ascii="Arial" w:eastAsia="Calibri" w:hAnsi="Arial" w:cs="Arial"/>
          <w:sz w:val="18"/>
          <w:szCs w:val="18"/>
          <w:u w:color="000000"/>
        </w:rPr>
        <w:t xml:space="preserve"> </w:t>
      </w:r>
    </w:p>
  </w:footnote>
  <w:footnote w:id="23">
    <w:p w14:paraId="7A35CEB5" w14:textId="77777777" w:rsidR="00E617E2" w:rsidRPr="00032C71" w:rsidRDefault="00E617E2" w:rsidP="00E617E2">
      <w:pPr>
        <w:pStyle w:val="footnotedescription"/>
        <w:spacing w:after="11"/>
        <w:ind w:left="144" w:hanging="144"/>
        <w:rPr>
          <w:rFonts w:ascii="Arial" w:hAnsi="Arial" w:cs="Arial"/>
          <w:sz w:val="18"/>
          <w:szCs w:val="18"/>
        </w:rPr>
      </w:pPr>
      <w:r w:rsidRPr="00FE29B9">
        <w:rPr>
          <w:rStyle w:val="footnotemark"/>
          <w:rFonts w:ascii="Arial" w:hAnsi="Arial" w:cs="Arial"/>
          <w:sz w:val="18"/>
          <w:szCs w:val="18"/>
        </w:rPr>
        <w:footnoteRef/>
      </w:r>
      <w:r w:rsidRPr="00032C71">
        <w:rPr>
          <w:rFonts w:ascii="Arial" w:hAnsi="Arial" w:cs="Arial"/>
          <w:sz w:val="18"/>
          <w:szCs w:val="18"/>
        </w:rPr>
        <w:t xml:space="preserve"> </w:t>
      </w:r>
      <w:hyperlink r:id="rId182">
        <w:r w:rsidRPr="00032C71">
          <w:rPr>
            <w:rFonts w:ascii="Arial" w:hAnsi="Arial" w:cs="Arial"/>
            <w:sz w:val="18"/>
            <w:szCs w:val="18"/>
            <w:u w:val="single"/>
          </w:rPr>
          <w:t>https://www.washingtonpost.com/us-policy/2020/11/19/global-tax-evasion-data/</w:t>
        </w:r>
      </w:hyperlink>
      <w:hyperlink r:id="rId183">
        <w:r w:rsidRPr="00032C71">
          <w:rPr>
            <w:rFonts w:ascii="Arial" w:hAnsi="Arial" w:cs="Arial"/>
            <w:sz w:val="18"/>
            <w:szCs w:val="18"/>
            <w:u w:val="single" w:color="000000"/>
          </w:rPr>
          <w:t xml:space="preserve"> </w:t>
        </w:r>
      </w:hyperlink>
      <w:hyperlink r:id="rId184">
        <w:r w:rsidRPr="00032C71">
          <w:rPr>
            <w:rFonts w:ascii="Arial" w:eastAsia="Calibri" w:hAnsi="Arial" w:cs="Arial"/>
            <w:sz w:val="18"/>
            <w:szCs w:val="18"/>
            <w:u w:val="single" w:color="000000"/>
          </w:rPr>
          <w:t xml:space="preserve"> </w:t>
        </w:r>
      </w:hyperlink>
    </w:p>
  </w:footnote>
  <w:footnote w:id="24">
    <w:p w14:paraId="7D47E9F7" w14:textId="77777777" w:rsidR="00E617E2" w:rsidRPr="00032C71" w:rsidRDefault="00E617E2" w:rsidP="00E617E2">
      <w:pPr>
        <w:pStyle w:val="footnotedescription"/>
        <w:spacing w:after="9"/>
        <w:ind w:left="144" w:hanging="144"/>
        <w:rPr>
          <w:rFonts w:ascii="Arial" w:hAnsi="Arial" w:cs="Arial"/>
          <w:sz w:val="18"/>
          <w:szCs w:val="18"/>
        </w:rPr>
      </w:pPr>
      <w:r w:rsidRPr="00FE29B9">
        <w:rPr>
          <w:rStyle w:val="footnotemark"/>
          <w:rFonts w:ascii="Arial" w:hAnsi="Arial" w:cs="Arial"/>
          <w:sz w:val="18"/>
          <w:szCs w:val="18"/>
        </w:rPr>
        <w:footnoteRef/>
      </w:r>
      <w:r w:rsidRPr="00032C71">
        <w:rPr>
          <w:rFonts w:ascii="Arial" w:hAnsi="Arial" w:cs="Arial"/>
          <w:sz w:val="18"/>
          <w:szCs w:val="18"/>
        </w:rPr>
        <w:t xml:space="preserve"> </w:t>
      </w:r>
      <w:hyperlink r:id="rId185">
        <w:r w:rsidRPr="00032C71">
          <w:rPr>
            <w:rFonts w:ascii="Arial" w:hAnsi="Arial" w:cs="Arial"/>
            <w:sz w:val="18"/>
            <w:szCs w:val="18"/>
            <w:u w:val="single"/>
          </w:rPr>
          <w:t>https://www.globalreporting.org/about-gri/news-center/backing-for-gri-s-tax-standard/</w:t>
        </w:r>
      </w:hyperlink>
      <w:hyperlink r:id="rId186">
        <w:r w:rsidRPr="00032C71">
          <w:rPr>
            <w:rFonts w:ascii="Arial" w:hAnsi="Arial" w:cs="Arial"/>
            <w:sz w:val="18"/>
            <w:szCs w:val="18"/>
            <w:u w:val="single" w:color="000000"/>
          </w:rPr>
          <w:t xml:space="preserve"> </w:t>
        </w:r>
      </w:hyperlink>
      <w:hyperlink r:id="rId187">
        <w:r w:rsidRPr="00032C71">
          <w:rPr>
            <w:rFonts w:ascii="Arial" w:eastAsia="Calibri" w:hAnsi="Arial" w:cs="Arial"/>
            <w:sz w:val="18"/>
            <w:szCs w:val="18"/>
            <w:u w:val="single" w:color="000000"/>
          </w:rPr>
          <w:t xml:space="preserve"> </w:t>
        </w:r>
      </w:hyperlink>
    </w:p>
  </w:footnote>
  <w:footnote w:id="25">
    <w:p w14:paraId="4AE79E71" w14:textId="77777777" w:rsidR="00E617E2" w:rsidRPr="00032C71" w:rsidRDefault="00E617E2" w:rsidP="00E617E2">
      <w:pPr>
        <w:pStyle w:val="footnotedescription"/>
        <w:ind w:left="144" w:hanging="144"/>
        <w:rPr>
          <w:rFonts w:ascii="Arial" w:hAnsi="Arial" w:cs="Arial"/>
          <w:sz w:val="18"/>
          <w:szCs w:val="18"/>
        </w:rPr>
      </w:pPr>
      <w:r w:rsidRPr="00FE29B9">
        <w:rPr>
          <w:rStyle w:val="footnotemark"/>
          <w:rFonts w:ascii="Arial" w:hAnsi="Arial" w:cs="Arial"/>
          <w:sz w:val="18"/>
          <w:szCs w:val="18"/>
        </w:rPr>
        <w:footnoteRef/>
      </w:r>
      <w:r w:rsidRPr="00032C71">
        <w:rPr>
          <w:rFonts w:ascii="Arial" w:hAnsi="Arial" w:cs="Arial"/>
          <w:sz w:val="18"/>
          <w:szCs w:val="18"/>
        </w:rPr>
        <w:t xml:space="preserve"> </w:t>
      </w:r>
      <w:r w:rsidRPr="00032C71">
        <w:rPr>
          <w:rFonts w:ascii="Arial" w:hAnsi="Arial" w:cs="Arial"/>
          <w:sz w:val="18"/>
          <w:szCs w:val="18"/>
          <w:u w:val="single"/>
        </w:rPr>
        <w:t>https://www.oecd.org/tax/international-community-strikes-a-ground-breaking-tax-deal-for-the-digital-age.htm</w:t>
      </w:r>
      <w:r w:rsidRPr="00032C71">
        <w:rPr>
          <w:rFonts w:ascii="Arial" w:hAnsi="Arial" w:cs="Arial"/>
          <w:sz w:val="18"/>
          <w:szCs w:val="18"/>
          <w:u w:val="single" w:color="000000"/>
        </w:rPr>
        <w:t>.</w:t>
      </w:r>
      <w:r w:rsidRPr="00032C71">
        <w:rPr>
          <w:rFonts w:ascii="Arial" w:eastAsia="Calibri" w:hAnsi="Arial" w:cs="Arial"/>
          <w:sz w:val="18"/>
          <w:szCs w:val="18"/>
          <w:u w:color="000000"/>
        </w:rPr>
        <w:t xml:space="preserve"> </w:t>
      </w:r>
    </w:p>
  </w:footnote>
  <w:footnote w:id="26">
    <w:p w14:paraId="32B63CAE" w14:textId="77777777" w:rsidR="00E617E2" w:rsidRPr="00032C71" w:rsidRDefault="00E617E2" w:rsidP="00E617E2">
      <w:pPr>
        <w:pStyle w:val="footnotedescription"/>
        <w:spacing w:after="11"/>
        <w:ind w:left="144" w:hanging="144"/>
        <w:rPr>
          <w:rFonts w:ascii="Arial" w:hAnsi="Arial" w:cs="Arial"/>
          <w:sz w:val="18"/>
          <w:szCs w:val="18"/>
        </w:rPr>
      </w:pPr>
      <w:r w:rsidRPr="00FE29B9">
        <w:rPr>
          <w:rStyle w:val="footnotemark"/>
          <w:rFonts w:ascii="Arial" w:hAnsi="Arial" w:cs="Arial"/>
          <w:sz w:val="18"/>
          <w:szCs w:val="18"/>
        </w:rPr>
        <w:footnoteRef/>
      </w:r>
      <w:r w:rsidRPr="00032C71">
        <w:rPr>
          <w:rFonts w:ascii="Arial" w:hAnsi="Arial" w:cs="Arial"/>
          <w:sz w:val="18"/>
          <w:szCs w:val="18"/>
        </w:rPr>
        <w:t xml:space="preserve"> </w:t>
      </w:r>
      <w:hyperlink r:id="rId188">
        <w:r w:rsidRPr="00032C71">
          <w:rPr>
            <w:rFonts w:ascii="Arial" w:hAnsi="Arial" w:cs="Arial"/>
            <w:sz w:val="18"/>
            <w:szCs w:val="18"/>
            <w:u w:val="single"/>
          </w:rPr>
          <w:t>https://thefactcoalition.org/international-tax-reform-in-build-back-better-act-a-promising-start/</w:t>
        </w:r>
      </w:hyperlink>
      <w:hyperlink r:id="rId189">
        <w:r w:rsidRPr="00032C71">
          <w:rPr>
            <w:rFonts w:ascii="Arial" w:hAnsi="Arial" w:cs="Arial"/>
            <w:sz w:val="18"/>
            <w:szCs w:val="18"/>
            <w:u w:val="single" w:color="000000"/>
          </w:rPr>
          <w:t xml:space="preserve"> </w:t>
        </w:r>
      </w:hyperlink>
      <w:hyperlink r:id="rId190">
        <w:r w:rsidRPr="00032C71">
          <w:rPr>
            <w:rFonts w:ascii="Arial" w:eastAsia="Calibri" w:hAnsi="Arial" w:cs="Arial"/>
            <w:sz w:val="18"/>
            <w:szCs w:val="18"/>
            <w:u w:val="single" w:color="000000"/>
          </w:rPr>
          <w:t xml:space="preserve"> </w:t>
        </w:r>
      </w:hyperlink>
    </w:p>
  </w:footnote>
  <w:footnote w:id="27">
    <w:p w14:paraId="14429AB5" w14:textId="77777777" w:rsidR="00E617E2" w:rsidRPr="00032C71" w:rsidRDefault="00E617E2" w:rsidP="00E617E2">
      <w:pPr>
        <w:pStyle w:val="footnotedescription"/>
        <w:spacing w:after="5"/>
        <w:ind w:left="144" w:hanging="144"/>
        <w:rPr>
          <w:rFonts w:ascii="Arial" w:hAnsi="Arial" w:cs="Arial"/>
          <w:sz w:val="18"/>
          <w:szCs w:val="18"/>
          <w:u w:val="single"/>
        </w:rPr>
      </w:pPr>
      <w:r w:rsidRPr="00FE29B9">
        <w:rPr>
          <w:rStyle w:val="footnotemark"/>
          <w:rFonts w:ascii="Arial" w:hAnsi="Arial" w:cs="Arial"/>
          <w:sz w:val="18"/>
          <w:szCs w:val="18"/>
        </w:rPr>
        <w:footnoteRef/>
      </w:r>
      <w:r w:rsidRPr="00032C71">
        <w:rPr>
          <w:rFonts w:ascii="Arial" w:hAnsi="Arial" w:cs="Arial"/>
          <w:sz w:val="18"/>
          <w:szCs w:val="18"/>
        </w:rPr>
        <w:t xml:space="preserve"> </w:t>
      </w:r>
      <w:hyperlink r:id="rId191">
        <w:r w:rsidRPr="00032C71">
          <w:rPr>
            <w:rFonts w:ascii="Arial" w:hAnsi="Arial" w:cs="Arial"/>
            <w:sz w:val="18"/>
            <w:szCs w:val="18"/>
            <w:u w:val="single"/>
          </w:rPr>
          <w:t>https://www.internationaltaxreview.com/article/b1vf7yc65qpzcd/this-week-in-tax-eu-on-track-for-public-cbcr-by-2023</w:t>
        </w:r>
      </w:hyperlink>
      <w:hyperlink r:id="rId192">
        <w:r w:rsidRPr="00032C71">
          <w:rPr>
            <w:rFonts w:ascii="Arial" w:hAnsi="Arial" w:cs="Arial"/>
            <w:sz w:val="18"/>
            <w:szCs w:val="18"/>
            <w:u w:val="single" w:color="000000"/>
          </w:rPr>
          <w:t xml:space="preserve"> </w:t>
        </w:r>
      </w:hyperlink>
      <w:hyperlink r:id="rId193">
        <w:r w:rsidRPr="00032C71">
          <w:rPr>
            <w:rFonts w:ascii="Arial" w:eastAsia="Calibri" w:hAnsi="Arial" w:cs="Arial"/>
            <w:sz w:val="18"/>
            <w:szCs w:val="18"/>
            <w:u w:val="single" w:color="000000"/>
          </w:rPr>
          <w:t xml:space="preserve"> </w:t>
        </w:r>
      </w:hyperlink>
    </w:p>
  </w:footnote>
  <w:footnote w:id="28">
    <w:p w14:paraId="5A35CDC5" w14:textId="77777777" w:rsidR="00E617E2" w:rsidRPr="00032C71" w:rsidRDefault="00E617E2" w:rsidP="00E617E2">
      <w:pPr>
        <w:pStyle w:val="footnotedescription"/>
        <w:spacing w:after="4" w:line="251" w:lineRule="auto"/>
        <w:ind w:left="144" w:hanging="144"/>
        <w:rPr>
          <w:rFonts w:ascii="Arial" w:hAnsi="Arial" w:cs="Arial"/>
          <w:sz w:val="18"/>
          <w:szCs w:val="18"/>
        </w:rPr>
      </w:pPr>
      <w:r w:rsidRPr="00FE29B9">
        <w:rPr>
          <w:rStyle w:val="footnotemark"/>
          <w:rFonts w:ascii="Arial" w:hAnsi="Arial" w:cs="Arial"/>
          <w:sz w:val="18"/>
          <w:szCs w:val="18"/>
        </w:rPr>
        <w:footnoteRef/>
      </w:r>
      <w:r w:rsidRPr="00032C71">
        <w:rPr>
          <w:rFonts w:ascii="Arial" w:hAnsi="Arial" w:cs="Arial"/>
          <w:sz w:val="18"/>
          <w:szCs w:val="18"/>
        </w:rPr>
        <w:t xml:space="preserve"> </w:t>
      </w:r>
      <w:hyperlink r:id="rId194">
        <w:r w:rsidRPr="00032C71">
          <w:rPr>
            <w:rFonts w:ascii="Arial" w:hAnsi="Arial" w:cs="Arial"/>
            <w:sz w:val="18"/>
            <w:szCs w:val="18"/>
            <w:u w:val="single"/>
          </w:rPr>
          <w:t>https://www2.deloitte.com/content/dam/Deloitte/au/Documents/tax/deloitte-au-tax-insights-7-australia-introduces</w:t>
        </w:r>
      </w:hyperlink>
      <w:hyperlink r:id="rId195">
        <w:r w:rsidRPr="00032C71">
          <w:rPr>
            <w:rFonts w:ascii="Arial" w:hAnsi="Arial" w:cs="Arial"/>
            <w:sz w:val="18"/>
            <w:szCs w:val="18"/>
            <w:u w:val="single"/>
          </w:rPr>
          <w:t>public-tax-reporting-australian-foreign-headquartered-multinationals-120423.pdf</w:t>
        </w:r>
      </w:hyperlink>
      <w:hyperlink r:id="rId196">
        <w:r w:rsidRPr="00032C71">
          <w:rPr>
            <w:rFonts w:ascii="Arial" w:hAnsi="Arial" w:cs="Arial"/>
            <w:sz w:val="18"/>
            <w:szCs w:val="18"/>
            <w:u w:val="single" w:color="000000"/>
          </w:rPr>
          <w:t xml:space="preserve"> </w:t>
        </w:r>
      </w:hyperlink>
      <w:hyperlink r:id="rId197">
        <w:r w:rsidRPr="00032C71">
          <w:rPr>
            <w:rFonts w:ascii="Arial" w:eastAsia="Calibri" w:hAnsi="Arial" w:cs="Arial"/>
            <w:sz w:val="18"/>
            <w:szCs w:val="18"/>
            <w:u w:val="single" w:color="000000"/>
          </w:rPr>
          <w:t xml:space="preserve"> </w:t>
        </w:r>
      </w:hyperlink>
    </w:p>
  </w:footnote>
  <w:footnote w:id="29">
    <w:p w14:paraId="5D23EB5C" w14:textId="77777777" w:rsidR="00E617E2" w:rsidRPr="00032C71" w:rsidRDefault="00E617E2" w:rsidP="00E617E2">
      <w:pPr>
        <w:pStyle w:val="footnotedescription"/>
        <w:spacing w:after="5" w:line="245" w:lineRule="auto"/>
        <w:ind w:left="144" w:hanging="144"/>
        <w:rPr>
          <w:rFonts w:ascii="Arial" w:hAnsi="Arial" w:cs="Arial"/>
          <w:sz w:val="18"/>
          <w:szCs w:val="18"/>
        </w:rPr>
      </w:pPr>
      <w:r w:rsidRPr="00FE29B9">
        <w:rPr>
          <w:rStyle w:val="footnotemark"/>
          <w:rFonts w:ascii="Arial" w:hAnsi="Arial" w:cs="Arial"/>
          <w:sz w:val="18"/>
          <w:szCs w:val="18"/>
        </w:rPr>
        <w:footnoteRef/>
      </w:r>
      <w:r w:rsidRPr="00032C71">
        <w:rPr>
          <w:rFonts w:ascii="Arial" w:hAnsi="Arial" w:cs="Arial"/>
          <w:sz w:val="18"/>
          <w:szCs w:val="18"/>
        </w:rPr>
        <w:t xml:space="preserve"> </w:t>
      </w:r>
      <w:hyperlink r:id="rId198">
        <w:r w:rsidRPr="00032C71">
          <w:rPr>
            <w:rFonts w:ascii="Arial" w:hAnsi="Arial" w:cs="Arial"/>
            <w:sz w:val="18"/>
            <w:szCs w:val="18"/>
            <w:u w:val="single"/>
          </w:rPr>
          <w:t>https://www.propublica.org/article/the-irs-decided-to-get-tough-against-microsoft-microsoft-got-tougher</w:t>
        </w:r>
      </w:hyperlink>
      <w:hyperlink r:id="rId199">
        <w:r w:rsidRPr="00032C71">
          <w:rPr>
            <w:rFonts w:ascii="Arial" w:hAnsi="Arial" w:cs="Arial"/>
            <w:sz w:val="18"/>
            <w:szCs w:val="18"/>
            <w:u w:color="000000"/>
          </w:rPr>
          <w:t>;</w:t>
        </w:r>
      </w:hyperlink>
      <w:r w:rsidRPr="00032C71">
        <w:rPr>
          <w:rFonts w:ascii="Arial" w:hAnsi="Arial" w:cs="Arial"/>
          <w:sz w:val="18"/>
          <w:szCs w:val="18"/>
          <w:u w:val="single" w:color="000000"/>
        </w:rPr>
        <w:t xml:space="preserve"> </w:t>
      </w:r>
      <w:hyperlink r:id="rId200">
        <w:r w:rsidRPr="00032C71">
          <w:rPr>
            <w:rFonts w:ascii="Arial" w:hAnsi="Arial" w:cs="Arial"/>
            <w:sz w:val="18"/>
            <w:szCs w:val="18"/>
            <w:u w:val="single"/>
          </w:rPr>
          <w:t>https://www.theguardian.com/australia-news/2015/apr/08/google-apple-and-microsoft-defend-tax-set-up-that-shifts</w:t>
        </w:r>
      </w:hyperlink>
      <w:hyperlink r:id="rId201">
        <w:r w:rsidRPr="00032C71">
          <w:rPr>
            <w:rFonts w:ascii="Arial" w:hAnsi="Arial" w:cs="Arial"/>
            <w:sz w:val="18"/>
            <w:szCs w:val="18"/>
            <w:u w:val="single"/>
          </w:rPr>
          <w:t>revenue-offshore</w:t>
        </w:r>
      </w:hyperlink>
      <w:hyperlink r:id="rId202">
        <w:r w:rsidRPr="00032C71">
          <w:rPr>
            <w:rFonts w:ascii="Arial" w:eastAsia="Calibri" w:hAnsi="Arial" w:cs="Arial"/>
            <w:sz w:val="18"/>
            <w:szCs w:val="18"/>
            <w:u w:color="000000"/>
          </w:rPr>
          <w:t xml:space="preserve"> </w:t>
        </w:r>
      </w:hyperlink>
    </w:p>
  </w:footnote>
  <w:footnote w:id="30">
    <w:p w14:paraId="46091EBC" w14:textId="77777777" w:rsidR="00E617E2" w:rsidRPr="00032C71" w:rsidRDefault="00E617E2" w:rsidP="00E617E2">
      <w:pPr>
        <w:pStyle w:val="footnotedescription"/>
        <w:spacing w:after="4" w:line="250" w:lineRule="auto"/>
        <w:ind w:left="144" w:hanging="144"/>
        <w:rPr>
          <w:rFonts w:ascii="Arial" w:hAnsi="Arial" w:cs="Arial"/>
          <w:sz w:val="18"/>
          <w:szCs w:val="18"/>
        </w:rPr>
      </w:pPr>
      <w:r w:rsidRPr="00FE29B9">
        <w:rPr>
          <w:rStyle w:val="footnotemark"/>
          <w:rFonts w:ascii="Arial" w:hAnsi="Arial" w:cs="Arial"/>
          <w:sz w:val="18"/>
          <w:szCs w:val="18"/>
        </w:rPr>
        <w:footnoteRef/>
      </w:r>
      <w:r w:rsidRPr="00032C71">
        <w:rPr>
          <w:rFonts w:ascii="Arial" w:hAnsi="Arial" w:cs="Arial"/>
          <w:sz w:val="18"/>
          <w:szCs w:val="18"/>
        </w:rPr>
        <w:t xml:space="preserve"> </w:t>
      </w:r>
      <w:hyperlink r:id="rId203">
        <w:r w:rsidRPr="00032C71">
          <w:rPr>
            <w:rFonts w:ascii="Arial" w:hAnsi="Arial" w:cs="Arial"/>
            <w:sz w:val="18"/>
            <w:szCs w:val="18"/>
            <w:u w:val="single"/>
          </w:rPr>
          <w:t>https://www.theguardian.com/world/2021/jun/03/microsoft-irish-subsidiary-paid-zero-corporate-tax-on-220bn-profit</w:t>
        </w:r>
      </w:hyperlink>
      <w:hyperlink r:id="rId204">
        <w:r w:rsidRPr="00032C71">
          <w:rPr>
            <w:rFonts w:ascii="Arial" w:hAnsi="Arial" w:cs="Arial"/>
            <w:sz w:val="18"/>
            <w:szCs w:val="18"/>
            <w:u w:val="single"/>
          </w:rPr>
          <w:t>last-year</w:t>
        </w:r>
      </w:hyperlink>
      <w:hyperlink r:id="rId205">
        <w:r w:rsidRPr="00032C71">
          <w:rPr>
            <w:rFonts w:ascii="Arial" w:hAnsi="Arial" w:cs="Arial"/>
            <w:sz w:val="18"/>
            <w:szCs w:val="18"/>
            <w:u w:val="single" w:color="000000"/>
          </w:rPr>
          <w:t xml:space="preserve"> </w:t>
        </w:r>
      </w:hyperlink>
      <w:hyperlink r:id="rId206">
        <w:r w:rsidRPr="00032C71">
          <w:rPr>
            <w:rFonts w:ascii="Arial" w:eastAsia="Calibri" w:hAnsi="Arial" w:cs="Arial"/>
            <w:sz w:val="18"/>
            <w:szCs w:val="18"/>
            <w:u w:val="single" w:color="000000"/>
          </w:rPr>
          <w:t xml:space="preserve"> </w:t>
        </w:r>
      </w:hyperlink>
    </w:p>
  </w:footnote>
  <w:footnote w:id="31">
    <w:p w14:paraId="66ECE4DE" w14:textId="77777777" w:rsidR="00E617E2" w:rsidRPr="00032C71" w:rsidRDefault="00E617E2" w:rsidP="00E617E2">
      <w:pPr>
        <w:pStyle w:val="footnotedescription"/>
        <w:spacing w:after="12"/>
        <w:ind w:left="144" w:hanging="144"/>
        <w:rPr>
          <w:rFonts w:ascii="Arial" w:hAnsi="Arial" w:cs="Arial"/>
          <w:sz w:val="18"/>
          <w:szCs w:val="18"/>
        </w:rPr>
      </w:pPr>
      <w:r w:rsidRPr="00FE29B9">
        <w:rPr>
          <w:rStyle w:val="footnotemark"/>
          <w:rFonts w:ascii="Arial" w:hAnsi="Arial" w:cs="Arial"/>
          <w:sz w:val="18"/>
          <w:szCs w:val="18"/>
        </w:rPr>
        <w:footnoteRef/>
      </w:r>
      <w:r w:rsidRPr="00032C71">
        <w:rPr>
          <w:rFonts w:ascii="Arial" w:hAnsi="Arial" w:cs="Arial"/>
          <w:sz w:val="18"/>
          <w:szCs w:val="18"/>
        </w:rPr>
        <w:t xml:space="preserve"> </w:t>
      </w:r>
      <w:hyperlink r:id="rId207">
        <w:r w:rsidRPr="00032C71">
          <w:rPr>
            <w:rFonts w:ascii="Arial" w:hAnsi="Arial" w:cs="Arial"/>
            <w:sz w:val="18"/>
            <w:szCs w:val="18"/>
            <w:u w:val="single"/>
          </w:rPr>
          <w:t>https://assets.kpmg/content/dam/kpmg/xx/pdf/2020/11/the-time-has-come.pdf</w:t>
        </w:r>
      </w:hyperlink>
      <w:hyperlink r:id="rId208">
        <w:r w:rsidRPr="00032C71">
          <w:rPr>
            <w:rFonts w:ascii="Arial" w:hAnsi="Arial" w:cs="Arial"/>
            <w:sz w:val="18"/>
            <w:szCs w:val="18"/>
            <w:u w:val="single" w:color="000000"/>
          </w:rPr>
          <w:t xml:space="preserve"> </w:t>
        </w:r>
      </w:hyperlink>
      <w:hyperlink r:id="rId209">
        <w:r w:rsidRPr="00032C71">
          <w:rPr>
            <w:rFonts w:ascii="Arial" w:eastAsia="Calibri" w:hAnsi="Arial" w:cs="Arial"/>
            <w:sz w:val="18"/>
            <w:szCs w:val="18"/>
            <w:u w:val="single" w:color="000000"/>
          </w:rPr>
          <w:t xml:space="preserve"> </w:t>
        </w:r>
      </w:hyperlink>
    </w:p>
  </w:footnote>
  <w:footnote w:id="32">
    <w:p w14:paraId="2914F8EF" w14:textId="77777777" w:rsidR="00E617E2" w:rsidRPr="00032C71" w:rsidRDefault="00E617E2" w:rsidP="00E617E2">
      <w:pPr>
        <w:pStyle w:val="footnotedescription"/>
        <w:spacing w:after="0"/>
        <w:ind w:left="144" w:hanging="144"/>
        <w:rPr>
          <w:rFonts w:ascii="Arial" w:hAnsi="Arial" w:cs="Arial"/>
          <w:sz w:val="18"/>
          <w:szCs w:val="18"/>
        </w:rPr>
      </w:pPr>
      <w:r w:rsidRPr="00FE29B9">
        <w:rPr>
          <w:rStyle w:val="footnotemark"/>
          <w:rFonts w:ascii="Arial" w:hAnsi="Arial" w:cs="Arial"/>
          <w:sz w:val="18"/>
          <w:szCs w:val="18"/>
        </w:rPr>
        <w:footnoteRef/>
      </w:r>
      <w:r w:rsidRPr="00032C71">
        <w:rPr>
          <w:rFonts w:ascii="Arial" w:hAnsi="Arial" w:cs="Arial"/>
          <w:sz w:val="18"/>
          <w:szCs w:val="18"/>
        </w:rPr>
        <w:t xml:space="preserve"> </w:t>
      </w:r>
      <w:hyperlink r:id="rId210">
        <w:r w:rsidRPr="00032C71">
          <w:rPr>
            <w:rFonts w:ascii="Arial" w:hAnsi="Arial" w:cs="Arial"/>
            <w:sz w:val="18"/>
            <w:szCs w:val="18"/>
            <w:u w:val="single"/>
          </w:rPr>
          <w:t>https://www.globalreporting.org/about-gri/news-center/backing-for-gri-s-tax-standard/</w:t>
        </w:r>
      </w:hyperlink>
      <w:hyperlink r:id="rId211">
        <w:r w:rsidRPr="00032C71">
          <w:rPr>
            <w:rFonts w:ascii="Arial" w:hAnsi="Arial" w:cs="Arial"/>
            <w:sz w:val="18"/>
            <w:szCs w:val="18"/>
            <w:u w:val="single" w:color="000000"/>
          </w:rPr>
          <w:t xml:space="preserve"> </w:t>
        </w:r>
      </w:hyperlink>
      <w:hyperlink r:id="rId212">
        <w:r w:rsidRPr="00032C71">
          <w:rPr>
            <w:rFonts w:ascii="Arial" w:eastAsia="Calibri" w:hAnsi="Arial" w:cs="Arial"/>
            <w:sz w:val="18"/>
            <w:szCs w:val="18"/>
            <w:u w:val="single" w:color="000000"/>
          </w:rPr>
          <w:t xml:space="preserve"> </w:t>
        </w:r>
      </w:hyperlink>
    </w:p>
  </w:footnote>
  <w:footnote w:id="33">
    <w:p w14:paraId="249EABF6" w14:textId="77777777" w:rsidR="00E617E2" w:rsidRPr="00032C71" w:rsidRDefault="00E617E2" w:rsidP="00E617E2">
      <w:pPr>
        <w:pStyle w:val="footnotedescription"/>
        <w:spacing w:after="0" w:line="258" w:lineRule="auto"/>
        <w:ind w:left="144" w:right="431" w:hanging="144"/>
        <w:rPr>
          <w:rFonts w:ascii="Arial" w:eastAsia="Calibri" w:hAnsi="Arial" w:cs="Arial"/>
          <w:sz w:val="18"/>
          <w:szCs w:val="18"/>
          <w:u w:color="000000"/>
        </w:rPr>
      </w:pPr>
      <w:r w:rsidRPr="00FE29B9">
        <w:rPr>
          <w:rStyle w:val="footnotemark"/>
          <w:rFonts w:ascii="Arial" w:hAnsi="Arial" w:cs="Arial"/>
          <w:sz w:val="18"/>
          <w:szCs w:val="18"/>
        </w:rPr>
        <w:footnoteRef/>
      </w:r>
      <w:r w:rsidRPr="00032C71">
        <w:rPr>
          <w:rFonts w:ascii="Arial" w:hAnsi="Arial" w:cs="Arial"/>
          <w:sz w:val="18"/>
          <w:szCs w:val="18"/>
        </w:rPr>
        <w:t xml:space="preserve"> </w:t>
      </w:r>
      <w:r w:rsidRPr="00032C71">
        <w:rPr>
          <w:rFonts w:ascii="Arial" w:hAnsi="Arial" w:cs="Arial"/>
          <w:sz w:val="18"/>
          <w:szCs w:val="18"/>
          <w:u w:val="single"/>
        </w:rPr>
        <w:t>https://www.globalreporting.org/standards/media/2482/gri-207-tax-2019.pdf</w:t>
      </w:r>
      <w:r w:rsidRPr="00032C71">
        <w:rPr>
          <w:rFonts w:ascii="Arial" w:eastAsia="Calibri" w:hAnsi="Arial" w:cs="Arial"/>
          <w:sz w:val="18"/>
          <w:szCs w:val="18"/>
          <w:u w:val="single" w:color="000000"/>
        </w:rPr>
        <w:t xml:space="preserve"> </w:t>
      </w:r>
    </w:p>
    <w:p w14:paraId="7637CC9D" w14:textId="77777777" w:rsidR="00E617E2" w:rsidRDefault="00E617E2" w:rsidP="00E617E2">
      <w:pPr>
        <w:pStyle w:val="footnotedescription"/>
        <w:spacing w:after="0" w:line="259" w:lineRule="auto"/>
        <w:ind w:left="187" w:right="432" w:hanging="187"/>
      </w:pPr>
      <w:r w:rsidRPr="00FE29B9">
        <w:rPr>
          <w:rFonts w:ascii="Arial" w:eastAsia="Calibri" w:hAnsi="Arial" w:cs="Arial"/>
          <w:sz w:val="18"/>
          <w:szCs w:val="18"/>
          <w:u w:color="000000"/>
          <w:vertAlign w:val="superscript"/>
        </w:rPr>
        <w:t>13</w:t>
      </w:r>
      <w:r w:rsidRPr="00032C71">
        <w:rPr>
          <w:rFonts w:ascii="Arial" w:eastAsia="Calibri" w:hAnsi="Arial" w:cs="Arial"/>
          <w:sz w:val="18"/>
          <w:szCs w:val="18"/>
          <w:u w:color="000000"/>
        </w:rPr>
        <w:t xml:space="preserve"> </w:t>
      </w:r>
      <w:r w:rsidRPr="00032C71">
        <w:rPr>
          <w:rFonts w:ascii="Arial" w:hAnsi="Arial" w:cs="Arial"/>
          <w:sz w:val="18"/>
          <w:szCs w:val="18"/>
          <w:u w:color="000000"/>
        </w:rPr>
        <w:t xml:space="preserve">For example: </w:t>
      </w:r>
      <w:hyperlink r:id="rId213">
        <w:r w:rsidRPr="00032C71">
          <w:rPr>
            <w:rFonts w:ascii="Arial" w:hAnsi="Arial" w:cs="Arial"/>
            <w:sz w:val="18"/>
            <w:szCs w:val="18"/>
            <w:u w:val="single"/>
          </w:rPr>
          <w:t>https://www.results.philips.com/publications/ar20/downloads/pdf/en/PhilipsCountryActivityAndTaxReport2020.pdf</w:t>
        </w:r>
      </w:hyperlink>
      <w:hyperlink r:id="rId214">
        <w:r w:rsidRPr="00032C71">
          <w:rPr>
            <w:rFonts w:ascii="Arial" w:hAnsi="Arial" w:cs="Arial"/>
            <w:sz w:val="18"/>
            <w:szCs w:val="18"/>
            <w:u w:color="000000"/>
          </w:rPr>
          <w:t>;</w:t>
        </w:r>
      </w:hyperlink>
      <w:r w:rsidRPr="00032C71">
        <w:rPr>
          <w:rFonts w:ascii="Arial" w:hAnsi="Arial" w:cs="Arial"/>
          <w:sz w:val="18"/>
          <w:szCs w:val="18"/>
          <w:u w:color="000000"/>
        </w:rPr>
        <w:t xml:space="preserve"> </w:t>
      </w:r>
      <w:hyperlink r:id="rId215">
        <w:r w:rsidRPr="00032C71">
          <w:rPr>
            <w:rFonts w:ascii="Arial" w:hAnsi="Arial" w:cs="Arial"/>
            <w:sz w:val="18"/>
            <w:szCs w:val="18"/>
            <w:u w:val="single"/>
          </w:rPr>
          <w:t>https://www.vodafone.com/sites/default/files/2021-10/vodafone-tax-report-19-20.pdf</w:t>
        </w:r>
      </w:hyperlink>
      <w:hyperlink r:id="rId216">
        <w:r w:rsidRPr="00032C71">
          <w:rPr>
            <w:rFonts w:ascii="Arial" w:hAnsi="Arial" w:cs="Arial"/>
            <w:sz w:val="18"/>
            <w:szCs w:val="18"/>
            <w:u w:color="000000"/>
          </w:rPr>
          <w:t xml:space="preserve">. </w:t>
        </w:r>
      </w:hyperlink>
      <w:r w:rsidRPr="00032C71">
        <w:rPr>
          <w:rFonts w:ascii="Arial" w:eastAsia="Calibri" w:hAnsi="Arial" w:cs="Arial"/>
          <w:sz w:val="18"/>
          <w:szCs w:val="18"/>
          <w:u w:color="000000"/>
        </w:rPr>
        <w:t xml:space="preserve"> </w:t>
      </w:r>
    </w:p>
  </w:footnote>
  <w:footnote w:id="34">
    <w:p w14:paraId="55B1917A" w14:textId="77777777" w:rsidR="00E617E2" w:rsidRDefault="00E617E2" w:rsidP="00E617E2">
      <w:pPr>
        <w:pStyle w:val="FootnoteText"/>
      </w:pPr>
      <w:r w:rsidRPr="00FE29B9">
        <w:rPr>
          <w:rStyle w:val="FootnoteReference"/>
        </w:rPr>
        <w:footnoteRef/>
      </w:r>
      <w:r>
        <w:t xml:space="preserve"> </w:t>
      </w:r>
      <w:r w:rsidRPr="00032C71">
        <w:rPr>
          <w:rFonts w:ascii="Arial" w:eastAsia="Arial" w:hAnsi="Arial" w:cs="Arial"/>
          <w:color w:val="000000"/>
          <w:sz w:val="18"/>
          <w:szCs w:val="18"/>
          <w:u w:val="single"/>
        </w:rPr>
        <w:t>https://news.microsoft.com/en-xm/features/microsoft-announces-intent-to</w:t>
      </w:r>
      <w:r>
        <w:rPr>
          <w:rFonts w:ascii="Arial" w:eastAsia="Arial" w:hAnsi="Arial" w:cs="Arial"/>
          <w:color w:val="000000"/>
          <w:sz w:val="18"/>
          <w:szCs w:val="18"/>
          <w:u w:val="single"/>
        </w:rPr>
        <w:t>-</w:t>
      </w:r>
      <w:r w:rsidRPr="00032C71">
        <w:rPr>
          <w:rFonts w:ascii="Arial" w:eastAsia="Arial" w:hAnsi="Arial" w:cs="Arial"/>
          <w:color w:val="000000"/>
          <w:sz w:val="18"/>
          <w:szCs w:val="18"/>
          <w:u w:val="single"/>
        </w:rPr>
        <w:t>expand-cloud-regions-through-saudi-arabia-datacenter/</w:t>
      </w:r>
    </w:p>
  </w:footnote>
  <w:footnote w:id="35">
    <w:p w14:paraId="1826EBA3" w14:textId="77777777" w:rsidR="00E617E2" w:rsidRPr="00852023" w:rsidRDefault="00E617E2" w:rsidP="00E617E2">
      <w:pPr>
        <w:pStyle w:val="FootnoteText"/>
        <w:rPr>
          <w:rFonts w:ascii="Arial" w:hAnsi="Arial" w:cs="Arial"/>
          <w:sz w:val="18"/>
          <w:szCs w:val="18"/>
        </w:rPr>
      </w:pPr>
      <w:r w:rsidRPr="00FE29B9">
        <w:rPr>
          <w:rStyle w:val="FootnoteReference"/>
        </w:rPr>
        <w:footnoteRef/>
      </w:r>
      <w:r>
        <w:t xml:space="preserve"> </w:t>
      </w:r>
      <w:r w:rsidRPr="00032C71">
        <w:rPr>
          <w:rFonts w:ascii="Arial" w:eastAsia="Arial" w:hAnsi="Arial" w:cs="Arial"/>
          <w:color w:val="000000"/>
          <w:sz w:val="18"/>
          <w:szCs w:val="18"/>
          <w:u w:val="single"/>
        </w:rPr>
        <w:t>https://www.state.gov/reports/2022-country-reports-on-human-rights</w:t>
      </w:r>
      <w:r>
        <w:rPr>
          <w:rFonts w:ascii="Arial" w:eastAsia="Arial" w:hAnsi="Arial" w:cs="Arial"/>
          <w:color w:val="000000"/>
          <w:sz w:val="18"/>
          <w:szCs w:val="18"/>
          <w:u w:val="single"/>
        </w:rPr>
        <w:t>-</w:t>
      </w:r>
      <w:r w:rsidRPr="00032C71">
        <w:rPr>
          <w:rFonts w:ascii="Arial" w:eastAsia="Arial" w:hAnsi="Arial" w:cs="Arial"/>
          <w:color w:val="000000"/>
          <w:sz w:val="18"/>
          <w:szCs w:val="18"/>
          <w:u w:val="single"/>
        </w:rPr>
        <w:t>practices/saudi-arabia/</w:t>
      </w:r>
    </w:p>
  </w:footnote>
  <w:footnote w:id="36">
    <w:p w14:paraId="282A786D" w14:textId="77777777" w:rsidR="00E617E2" w:rsidRDefault="00E617E2" w:rsidP="00E617E2">
      <w:pPr>
        <w:pStyle w:val="FootnoteText"/>
      </w:pPr>
      <w:r w:rsidRPr="00FE29B9">
        <w:rPr>
          <w:rStyle w:val="FootnoteReference"/>
          <w:rFonts w:ascii="Arial" w:hAnsi="Arial" w:cs="Arial"/>
          <w:sz w:val="18"/>
          <w:szCs w:val="18"/>
        </w:rPr>
        <w:footnoteRef/>
      </w:r>
      <w:r w:rsidRPr="00852023">
        <w:rPr>
          <w:rFonts w:ascii="Arial" w:hAnsi="Arial" w:cs="Arial"/>
          <w:sz w:val="18"/>
          <w:szCs w:val="18"/>
        </w:rPr>
        <w:t xml:space="preserve"> </w:t>
      </w:r>
      <w:r w:rsidRPr="00032C71">
        <w:rPr>
          <w:rFonts w:ascii="Arial" w:eastAsia="Arial" w:hAnsi="Arial" w:cs="Arial"/>
          <w:iCs/>
          <w:color w:val="000000"/>
          <w:sz w:val="18"/>
          <w:szCs w:val="18"/>
          <w:u w:val="single"/>
        </w:rPr>
        <w:t>https://www.nbcnews.com/tech/security/former-twitter-employee-sentenced</w:t>
      </w:r>
      <w:r>
        <w:rPr>
          <w:rFonts w:ascii="Arial" w:eastAsia="Arial" w:hAnsi="Arial" w:cs="Arial"/>
          <w:iCs/>
          <w:color w:val="000000"/>
          <w:sz w:val="18"/>
          <w:szCs w:val="18"/>
          <w:u w:val="single"/>
        </w:rPr>
        <w:t>-</w:t>
      </w:r>
      <w:r w:rsidRPr="00032C71">
        <w:rPr>
          <w:rFonts w:ascii="Arial" w:eastAsia="Arial" w:hAnsi="Arial" w:cs="Arial"/>
          <w:iCs/>
          <w:color w:val="000000"/>
          <w:sz w:val="18"/>
          <w:szCs w:val="18"/>
          <w:u w:val="single"/>
        </w:rPr>
        <w:t>three-years-prison-spying-saudi-arab-rcna61384</w:t>
      </w:r>
    </w:p>
  </w:footnote>
  <w:footnote w:id="37">
    <w:p w14:paraId="005AA785" w14:textId="77777777" w:rsidR="00E617E2" w:rsidRPr="00625D6E" w:rsidRDefault="00E617E2" w:rsidP="00E617E2">
      <w:pPr>
        <w:pStyle w:val="footnotedescription"/>
        <w:spacing w:after="39"/>
        <w:ind w:left="144" w:right="14" w:hanging="144"/>
        <w:rPr>
          <w:rFonts w:ascii="Arial" w:hAnsi="Arial" w:cs="Arial"/>
          <w:sz w:val="18"/>
          <w:szCs w:val="18"/>
        </w:rPr>
      </w:pPr>
      <w:r w:rsidRPr="00FE29B9">
        <w:rPr>
          <w:rStyle w:val="footnotemark"/>
          <w:rFonts w:ascii="Arial" w:hAnsi="Arial" w:cs="Arial"/>
          <w:sz w:val="18"/>
          <w:szCs w:val="18"/>
        </w:rPr>
        <w:footnoteRef/>
      </w:r>
      <w:r w:rsidRPr="00625D6E">
        <w:rPr>
          <w:rFonts w:ascii="Arial" w:hAnsi="Arial" w:cs="Arial"/>
          <w:sz w:val="18"/>
          <w:szCs w:val="18"/>
        </w:rPr>
        <w:t xml:space="preserve"> </w:t>
      </w:r>
      <w:r w:rsidRPr="00032C71">
        <w:rPr>
          <w:rFonts w:ascii="Arial" w:hAnsi="Arial" w:cs="Arial"/>
          <w:sz w:val="18"/>
          <w:szCs w:val="18"/>
          <w:u w:val="single"/>
        </w:rPr>
        <w:t xml:space="preserve">https://www.lendingtree.com/credit-cards/study/boycott-product-company/  </w:t>
      </w:r>
    </w:p>
  </w:footnote>
  <w:footnote w:id="38">
    <w:p w14:paraId="30D95C74" w14:textId="77777777" w:rsidR="00E617E2" w:rsidRPr="00625D6E" w:rsidRDefault="00E617E2" w:rsidP="00E617E2">
      <w:pPr>
        <w:pStyle w:val="footnotedescription"/>
        <w:spacing w:after="19"/>
        <w:ind w:left="144" w:right="14" w:hanging="144"/>
        <w:rPr>
          <w:rFonts w:ascii="Arial" w:hAnsi="Arial" w:cs="Arial"/>
          <w:sz w:val="18"/>
          <w:szCs w:val="18"/>
        </w:rPr>
      </w:pPr>
      <w:r w:rsidRPr="00FE29B9">
        <w:rPr>
          <w:rStyle w:val="footnotemark"/>
          <w:rFonts w:ascii="Arial" w:hAnsi="Arial" w:cs="Arial"/>
          <w:sz w:val="18"/>
          <w:szCs w:val="18"/>
        </w:rPr>
        <w:footnoteRef/>
      </w:r>
      <w:r w:rsidRPr="00625D6E">
        <w:rPr>
          <w:rFonts w:ascii="Arial" w:hAnsi="Arial" w:cs="Arial"/>
          <w:sz w:val="18"/>
          <w:szCs w:val="18"/>
        </w:rPr>
        <w:t xml:space="preserve"> </w:t>
      </w:r>
      <w:r w:rsidRPr="00032C71">
        <w:rPr>
          <w:rFonts w:ascii="Arial" w:hAnsi="Arial" w:cs="Arial"/>
          <w:sz w:val="18"/>
          <w:szCs w:val="18"/>
          <w:u w:val="single"/>
        </w:rPr>
        <w:t xml:space="preserve">https://www.conference-board.org/publications/Under-a-Microscope-ES  </w:t>
      </w:r>
    </w:p>
  </w:footnote>
  <w:footnote w:id="39">
    <w:p w14:paraId="1DBC9E65" w14:textId="77777777" w:rsidR="00E617E2" w:rsidRPr="00032C71" w:rsidRDefault="00E617E2" w:rsidP="00E617E2">
      <w:pPr>
        <w:pStyle w:val="footnotedescription"/>
        <w:spacing w:after="56"/>
        <w:ind w:left="144" w:right="14" w:hanging="144"/>
        <w:rPr>
          <w:rFonts w:ascii="Arial" w:hAnsi="Arial" w:cs="Arial"/>
          <w:sz w:val="18"/>
          <w:szCs w:val="18"/>
          <w:u w:val="single"/>
        </w:rPr>
      </w:pPr>
      <w:r w:rsidRPr="00FE29B9">
        <w:rPr>
          <w:rStyle w:val="footnotemark"/>
          <w:rFonts w:ascii="Arial" w:hAnsi="Arial" w:cs="Arial"/>
          <w:sz w:val="18"/>
          <w:szCs w:val="18"/>
        </w:rPr>
        <w:footnoteRef/>
      </w:r>
      <w:r w:rsidRPr="00625D6E">
        <w:rPr>
          <w:rFonts w:ascii="Arial" w:hAnsi="Arial" w:cs="Arial"/>
          <w:sz w:val="18"/>
          <w:szCs w:val="18"/>
        </w:rPr>
        <w:t xml:space="preserve"> </w:t>
      </w:r>
      <w:r w:rsidRPr="00032C71">
        <w:rPr>
          <w:rFonts w:ascii="Arial" w:hAnsi="Arial" w:cs="Arial"/>
          <w:sz w:val="18"/>
          <w:szCs w:val="18"/>
          <w:u w:val="single"/>
        </w:rPr>
        <w:t xml:space="preserve">https://query.prod.cms.rt.microsoft.com/cms/api/am/binary/RE5b2Lt#page=14 </w:t>
      </w:r>
    </w:p>
  </w:footnote>
  <w:footnote w:id="40">
    <w:p w14:paraId="681538CB" w14:textId="77777777" w:rsidR="00E617E2" w:rsidRPr="00032C71" w:rsidRDefault="00E617E2" w:rsidP="00E617E2">
      <w:pPr>
        <w:pStyle w:val="footnotedescription"/>
        <w:spacing w:after="0"/>
        <w:ind w:left="144" w:right="14" w:hanging="144"/>
        <w:rPr>
          <w:rFonts w:ascii="Arial" w:hAnsi="Arial" w:cs="Arial"/>
          <w:sz w:val="18"/>
          <w:szCs w:val="18"/>
          <w:u w:val="single"/>
        </w:rPr>
      </w:pPr>
      <w:r w:rsidRPr="00FE29B9">
        <w:rPr>
          <w:rStyle w:val="footnotemark"/>
          <w:rFonts w:ascii="Arial" w:hAnsi="Arial" w:cs="Arial"/>
          <w:sz w:val="18"/>
          <w:szCs w:val="18"/>
        </w:rPr>
        <w:footnoteRef/>
      </w:r>
      <w:r w:rsidRPr="00625D6E">
        <w:rPr>
          <w:rFonts w:ascii="Arial" w:hAnsi="Arial" w:cs="Arial"/>
          <w:sz w:val="18"/>
          <w:szCs w:val="18"/>
        </w:rPr>
        <w:t xml:space="preserve"> h</w:t>
      </w:r>
      <w:r w:rsidRPr="00032C71">
        <w:rPr>
          <w:rFonts w:ascii="Arial" w:hAnsi="Arial" w:cs="Arial"/>
          <w:sz w:val="18"/>
          <w:szCs w:val="18"/>
          <w:u w:val="single"/>
        </w:rPr>
        <w:t xml:space="preserve">ttps://www.linkedin.com/posts/microsoft_microsoft-will-continue-to-do-everything-activity-6946280944945287168-M_JP?utm_source=linkedin_share&amp;utm_medium=member_desktop_web; https://www.washingtonpost.com/video-games/2022/05/11/roe-v-wade-abortion-bungie-microsoft-activisionblizzard/  </w:t>
      </w:r>
    </w:p>
  </w:footnote>
  <w:footnote w:id="41">
    <w:p w14:paraId="1130B51E" w14:textId="77777777" w:rsidR="00E617E2" w:rsidRDefault="00E617E2" w:rsidP="00E617E2">
      <w:pPr>
        <w:pStyle w:val="footnotedescription"/>
        <w:spacing w:after="0" w:line="293" w:lineRule="auto"/>
        <w:ind w:left="144" w:right="14" w:hanging="144"/>
        <w:rPr>
          <w:rFonts w:ascii="Arial" w:hAnsi="Arial" w:cs="Arial"/>
          <w:sz w:val="18"/>
          <w:szCs w:val="18"/>
        </w:rPr>
      </w:pPr>
      <w:r w:rsidRPr="00FE29B9">
        <w:rPr>
          <w:rStyle w:val="footnotemark"/>
          <w:rFonts w:ascii="Arial" w:hAnsi="Arial" w:cs="Arial"/>
          <w:sz w:val="18"/>
          <w:szCs w:val="18"/>
        </w:rPr>
        <w:footnoteRef/>
      </w:r>
      <w:r w:rsidRPr="00625D6E">
        <w:rPr>
          <w:rFonts w:ascii="Arial" w:hAnsi="Arial" w:cs="Arial"/>
          <w:sz w:val="18"/>
          <w:szCs w:val="18"/>
        </w:rPr>
        <w:t xml:space="preserve"> </w:t>
      </w:r>
      <w:r w:rsidRPr="00032C71">
        <w:rPr>
          <w:rFonts w:ascii="Arial" w:hAnsi="Arial" w:cs="Arial"/>
          <w:sz w:val="18"/>
          <w:szCs w:val="18"/>
          <w:u w:val="single"/>
        </w:rPr>
        <w:t xml:space="preserve">https://arstechnica.com/tech-policy/2022/08/microsoft-playing-dumb-on-anti-abortion-donations-activists-say/  </w:t>
      </w:r>
    </w:p>
    <w:p w14:paraId="14A0EC8F" w14:textId="77777777" w:rsidR="00E617E2" w:rsidRDefault="00E617E2" w:rsidP="00E617E2">
      <w:pPr>
        <w:pStyle w:val="footnotedescription"/>
        <w:spacing w:after="0" w:line="293" w:lineRule="auto"/>
        <w:ind w:left="144" w:right="14" w:hanging="144"/>
      </w:pPr>
      <w:r w:rsidRPr="00FE29B9">
        <w:rPr>
          <w:rFonts w:ascii="Arial" w:hAnsi="Arial" w:cs="Arial"/>
          <w:sz w:val="18"/>
          <w:szCs w:val="18"/>
          <w:vertAlign w:val="superscript"/>
        </w:rPr>
        <w:t>6</w:t>
      </w:r>
      <w:r w:rsidRPr="00625D6E">
        <w:rPr>
          <w:rFonts w:ascii="Arial" w:hAnsi="Arial" w:cs="Arial"/>
          <w:sz w:val="18"/>
          <w:szCs w:val="18"/>
        </w:rPr>
        <w:t xml:space="preserve"> </w:t>
      </w:r>
      <w:r w:rsidRPr="00032C71">
        <w:rPr>
          <w:rFonts w:ascii="Arial" w:hAnsi="Arial" w:cs="Arial"/>
          <w:sz w:val="18"/>
          <w:szCs w:val="18"/>
          <w:u w:val="single"/>
        </w:rPr>
        <w:t xml:space="preserve">https://reproductiverights.org/maps/abortion-laws-by-state/ </w:t>
      </w:r>
    </w:p>
  </w:footnote>
  <w:footnote w:id="42">
    <w:p w14:paraId="7C9FE750" w14:textId="77777777" w:rsidR="00E617E2" w:rsidRPr="005411B3" w:rsidRDefault="00E617E2" w:rsidP="00E617E2">
      <w:pPr>
        <w:pStyle w:val="footnotedescription"/>
        <w:ind w:left="144" w:hanging="144"/>
        <w:rPr>
          <w:rFonts w:ascii="Arial" w:hAnsi="Arial" w:cs="Arial"/>
          <w:color w:val="auto"/>
          <w:sz w:val="18"/>
          <w:szCs w:val="18"/>
        </w:rPr>
      </w:pPr>
      <w:r w:rsidRPr="005411B3">
        <w:rPr>
          <w:rStyle w:val="footnotemark"/>
          <w:rFonts w:ascii="Arial" w:hAnsi="Arial" w:cs="Arial"/>
          <w:color w:val="auto"/>
          <w:sz w:val="18"/>
          <w:szCs w:val="18"/>
        </w:rPr>
        <w:footnoteRef/>
      </w:r>
      <w:r w:rsidRPr="005411B3">
        <w:rPr>
          <w:rFonts w:ascii="Arial" w:hAnsi="Arial" w:cs="Arial"/>
          <w:color w:val="auto"/>
          <w:sz w:val="18"/>
          <w:szCs w:val="18"/>
        </w:rPr>
        <w:t xml:space="preserve"> </w:t>
      </w:r>
      <w:hyperlink r:id="rId217">
        <w:r w:rsidRPr="005411B3">
          <w:rPr>
            <w:rFonts w:ascii="Arial" w:hAnsi="Arial" w:cs="Arial"/>
            <w:color w:val="auto"/>
            <w:sz w:val="18"/>
            <w:szCs w:val="18"/>
          </w:rPr>
          <w:t>https://www.cnbc.com/2023/03/20/openai</w:t>
        </w:r>
      </w:hyperlink>
      <w:hyperlink r:id="rId218">
        <w:r w:rsidRPr="005411B3">
          <w:rPr>
            <w:rFonts w:ascii="Arial" w:hAnsi="Arial" w:cs="Arial"/>
            <w:color w:val="auto"/>
            <w:sz w:val="18"/>
            <w:szCs w:val="18"/>
          </w:rPr>
          <w:t>-</w:t>
        </w:r>
      </w:hyperlink>
      <w:hyperlink r:id="rId219">
        <w:r w:rsidRPr="005411B3">
          <w:rPr>
            <w:rFonts w:ascii="Arial" w:hAnsi="Arial" w:cs="Arial"/>
            <w:color w:val="auto"/>
            <w:sz w:val="18"/>
            <w:szCs w:val="18"/>
          </w:rPr>
          <w:t>ceo</w:t>
        </w:r>
      </w:hyperlink>
      <w:hyperlink r:id="rId220">
        <w:r w:rsidRPr="005411B3">
          <w:rPr>
            <w:rFonts w:ascii="Arial" w:hAnsi="Arial" w:cs="Arial"/>
            <w:color w:val="auto"/>
            <w:sz w:val="18"/>
            <w:szCs w:val="18"/>
          </w:rPr>
          <w:t>-</w:t>
        </w:r>
      </w:hyperlink>
      <w:hyperlink r:id="rId221">
        <w:r w:rsidRPr="005411B3">
          <w:rPr>
            <w:rFonts w:ascii="Arial" w:hAnsi="Arial" w:cs="Arial"/>
            <w:color w:val="auto"/>
            <w:sz w:val="18"/>
            <w:szCs w:val="18"/>
          </w:rPr>
          <w:t>sam</w:t>
        </w:r>
      </w:hyperlink>
      <w:hyperlink r:id="rId222">
        <w:r w:rsidRPr="005411B3">
          <w:rPr>
            <w:rFonts w:ascii="Arial" w:hAnsi="Arial" w:cs="Arial"/>
            <w:color w:val="auto"/>
            <w:sz w:val="18"/>
            <w:szCs w:val="18"/>
          </w:rPr>
          <w:t>-</w:t>
        </w:r>
      </w:hyperlink>
      <w:hyperlink r:id="rId223">
        <w:r w:rsidRPr="005411B3">
          <w:rPr>
            <w:rFonts w:ascii="Arial" w:hAnsi="Arial" w:cs="Arial"/>
            <w:color w:val="auto"/>
            <w:sz w:val="18"/>
            <w:szCs w:val="18"/>
          </w:rPr>
          <w:t>altman</w:t>
        </w:r>
      </w:hyperlink>
      <w:hyperlink r:id="rId224">
        <w:r w:rsidRPr="005411B3">
          <w:rPr>
            <w:rFonts w:ascii="Arial" w:hAnsi="Arial" w:cs="Arial"/>
            <w:color w:val="auto"/>
            <w:sz w:val="18"/>
            <w:szCs w:val="18"/>
          </w:rPr>
          <w:t>-</w:t>
        </w:r>
      </w:hyperlink>
      <w:hyperlink r:id="rId225">
        <w:r w:rsidRPr="005411B3">
          <w:rPr>
            <w:rFonts w:ascii="Arial" w:hAnsi="Arial" w:cs="Arial"/>
            <w:color w:val="auto"/>
            <w:sz w:val="18"/>
            <w:szCs w:val="18"/>
          </w:rPr>
          <w:t>says</w:t>
        </w:r>
      </w:hyperlink>
      <w:hyperlink r:id="rId226">
        <w:r w:rsidRPr="005411B3">
          <w:rPr>
            <w:rFonts w:ascii="Arial" w:hAnsi="Arial" w:cs="Arial"/>
            <w:color w:val="auto"/>
            <w:sz w:val="18"/>
            <w:szCs w:val="18"/>
          </w:rPr>
          <w:t>-</w:t>
        </w:r>
      </w:hyperlink>
      <w:hyperlink r:id="rId227">
        <w:r w:rsidRPr="005411B3">
          <w:rPr>
            <w:rFonts w:ascii="Arial" w:hAnsi="Arial" w:cs="Arial"/>
            <w:color w:val="auto"/>
            <w:sz w:val="18"/>
            <w:szCs w:val="18"/>
          </w:rPr>
          <w:t>hes</w:t>
        </w:r>
      </w:hyperlink>
      <w:hyperlink r:id="rId228">
        <w:r w:rsidRPr="005411B3">
          <w:rPr>
            <w:rFonts w:ascii="Arial" w:hAnsi="Arial" w:cs="Arial"/>
            <w:color w:val="auto"/>
            <w:sz w:val="18"/>
            <w:szCs w:val="18"/>
          </w:rPr>
          <w:t>-</w:t>
        </w:r>
      </w:hyperlink>
      <w:hyperlink r:id="rId229">
        <w:r w:rsidRPr="005411B3">
          <w:rPr>
            <w:rFonts w:ascii="Arial" w:hAnsi="Arial" w:cs="Arial"/>
            <w:color w:val="auto"/>
            <w:sz w:val="18"/>
            <w:szCs w:val="18"/>
          </w:rPr>
          <w:t>a</w:t>
        </w:r>
      </w:hyperlink>
      <w:hyperlink r:id="rId230">
        <w:r w:rsidRPr="005411B3">
          <w:rPr>
            <w:rFonts w:ascii="Arial" w:hAnsi="Arial" w:cs="Arial"/>
            <w:color w:val="auto"/>
            <w:sz w:val="18"/>
            <w:szCs w:val="18"/>
          </w:rPr>
          <w:t>-</w:t>
        </w:r>
      </w:hyperlink>
      <w:hyperlink r:id="rId231">
        <w:r w:rsidRPr="005411B3">
          <w:rPr>
            <w:rFonts w:ascii="Arial" w:hAnsi="Arial" w:cs="Arial"/>
            <w:color w:val="auto"/>
            <w:sz w:val="18"/>
            <w:szCs w:val="18"/>
          </w:rPr>
          <w:t>little</w:t>
        </w:r>
      </w:hyperlink>
      <w:hyperlink r:id="rId232">
        <w:r w:rsidRPr="005411B3">
          <w:rPr>
            <w:rFonts w:ascii="Arial" w:hAnsi="Arial" w:cs="Arial"/>
            <w:color w:val="auto"/>
            <w:sz w:val="18"/>
            <w:szCs w:val="18"/>
          </w:rPr>
          <w:t>-</w:t>
        </w:r>
      </w:hyperlink>
      <w:hyperlink r:id="rId233">
        <w:r w:rsidRPr="005411B3">
          <w:rPr>
            <w:rFonts w:ascii="Arial" w:hAnsi="Arial" w:cs="Arial"/>
            <w:color w:val="auto"/>
            <w:sz w:val="18"/>
            <w:szCs w:val="18"/>
          </w:rPr>
          <w:t>bit</w:t>
        </w:r>
      </w:hyperlink>
      <w:hyperlink r:id="rId234">
        <w:r w:rsidRPr="005411B3">
          <w:rPr>
            <w:rFonts w:ascii="Arial" w:hAnsi="Arial" w:cs="Arial"/>
            <w:color w:val="auto"/>
            <w:sz w:val="18"/>
            <w:szCs w:val="18"/>
          </w:rPr>
          <w:t>-</w:t>
        </w:r>
      </w:hyperlink>
      <w:hyperlink r:id="rId235">
        <w:r w:rsidRPr="005411B3">
          <w:rPr>
            <w:rFonts w:ascii="Arial" w:hAnsi="Arial" w:cs="Arial"/>
            <w:color w:val="auto"/>
            <w:sz w:val="18"/>
            <w:szCs w:val="18"/>
          </w:rPr>
          <w:t>scared</w:t>
        </w:r>
      </w:hyperlink>
      <w:hyperlink r:id="rId236">
        <w:r w:rsidRPr="005411B3">
          <w:rPr>
            <w:rFonts w:ascii="Arial" w:hAnsi="Arial" w:cs="Arial"/>
            <w:color w:val="auto"/>
            <w:sz w:val="18"/>
            <w:szCs w:val="18"/>
          </w:rPr>
          <w:t>-</w:t>
        </w:r>
      </w:hyperlink>
      <w:hyperlink r:id="rId237">
        <w:r w:rsidRPr="005411B3">
          <w:rPr>
            <w:rFonts w:ascii="Arial" w:hAnsi="Arial" w:cs="Arial"/>
            <w:color w:val="auto"/>
            <w:sz w:val="18"/>
            <w:szCs w:val="18"/>
          </w:rPr>
          <w:t>of</w:t>
        </w:r>
      </w:hyperlink>
      <w:hyperlink r:id="rId238">
        <w:r w:rsidRPr="005411B3">
          <w:rPr>
            <w:rFonts w:ascii="Arial" w:hAnsi="Arial" w:cs="Arial"/>
            <w:color w:val="auto"/>
            <w:sz w:val="18"/>
            <w:szCs w:val="18"/>
          </w:rPr>
          <w:t>-</w:t>
        </w:r>
      </w:hyperlink>
      <w:hyperlink r:id="rId239">
        <w:r w:rsidRPr="005411B3">
          <w:rPr>
            <w:rFonts w:ascii="Arial" w:hAnsi="Arial" w:cs="Arial"/>
            <w:color w:val="auto"/>
            <w:sz w:val="18"/>
            <w:szCs w:val="18"/>
          </w:rPr>
          <w:t>ai.html</w:t>
        </w:r>
      </w:hyperlink>
      <w:hyperlink r:id="rId240">
        <w:r w:rsidRPr="005411B3">
          <w:rPr>
            <w:rFonts w:ascii="Arial" w:hAnsi="Arial" w:cs="Arial"/>
            <w:color w:val="auto"/>
            <w:sz w:val="18"/>
            <w:szCs w:val="18"/>
            <w:u w:color="000000"/>
          </w:rPr>
          <w:t xml:space="preserve">  </w:t>
        </w:r>
      </w:hyperlink>
    </w:p>
  </w:footnote>
  <w:footnote w:id="43">
    <w:p w14:paraId="1D79DF33" w14:textId="77777777" w:rsidR="00E617E2" w:rsidRPr="005411B3" w:rsidRDefault="00E617E2" w:rsidP="00E617E2">
      <w:pPr>
        <w:pStyle w:val="footnotedescription"/>
        <w:ind w:left="144" w:hanging="144"/>
        <w:rPr>
          <w:rFonts w:ascii="Arial" w:hAnsi="Arial" w:cs="Arial"/>
          <w:color w:val="auto"/>
          <w:sz w:val="18"/>
          <w:szCs w:val="18"/>
        </w:rPr>
      </w:pPr>
      <w:r w:rsidRPr="005411B3">
        <w:rPr>
          <w:rStyle w:val="footnotemark"/>
          <w:rFonts w:ascii="Arial" w:hAnsi="Arial" w:cs="Arial"/>
          <w:color w:val="auto"/>
          <w:sz w:val="18"/>
          <w:szCs w:val="18"/>
        </w:rPr>
        <w:footnoteRef/>
      </w:r>
      <w:r w:rsidRPr="005411B3">
        <w:rPr>
          <w:rFonts w:ascii="Arial" w:hAnsi="Arial" w:cs="Arial"/>
          <w:color w:val="auto"/>
          <w:sz w:val="18"/>
          <w:szCs w:val="18"/>
        </w:rPr>
        <w:t xml:space="preserve"> </w:t>
      </w:r>
      <w:hyperlink r:id="rId241">
        <w:r w:rsidRPr="005411B3">
          <w:rPr>
            <w:rFonts w:ascii="Arial" w:hAnsi="Arial" w:cs="Arial"/>
            <w:color w:val="auto"/>
            <w:sz w:val="18"/>
            <w:szCs w:val="18"/>
            <w:u w:color="0000FF"/>
          </w:rPr>
          <w:t>https://www.cnbc.com/2023/04/08/microsofts</w:t>
        </w:r>
      </w:hyperlink>
      <w:hyperlink r:id="rId242">
        <w:r w:rsidRPr="005411B3">
          <w:rPr>
            <w:rFonts w:ascii="Arial" w:hAnsi="Arial" w:cs="Arial"/>
            <w:color w:val="auto"/>
            <w:sz w:val="18"/>
            <w:szCs w:val="18"/>
            <w:u w:color="0000FF"/>
          </w:rPr>
          <w:t>-</w:t>
        </w:r>
      </w:hyperlink>
      <w:hyperlink r:id="rId243">
        <w:r w:rsidRPr="005411B3">
          <w:rPr>
            <w:rFonts w:ascii="Arial" w:hAnsi="Arial" w:cs="Arial"/>
            <w:color w:val="auto"/>
            <w:sz w:val="18"/>
            <w:szCs w:val="18"/>
            <w:u w:color="0000FF"/>
          </w:rPr>
          <w:t>complex</w:t>
        </w:r>
      </w:hyperlink>
      <w:hyperlink r:id="rId244">
        <w:r w:rsidRPr="005411B3">
          <w:rPr>
            <w:rFonts w:ascii="Arial" w:hAnsi="Arial" w:cs="Arial"/>
            <w:color w:val="auto"/>
            <w:sz w:val="18"/>
            <w:szCs w:val="18"/>
            <w:u w:color="0000FF"/>
          </w:rPr>
          <w:t>-</w:t>
        </w:r>
      </w:hyperlink>
      <w:hyperlink r:id="rId245">
        <w:r w:rsidRPr="005411B3">
          <w:rPr>
            <w:rFonts w:ascii="Arial" w:hAnsi="Arial" w:cs="Arial"/>
            <w:color w:val="auto"/>
            <w:sz w:val="18"/>
            <w:szCs w:val="18"/>
            <w:u w:color="0000FF"/>
          </w:rPr>
          <w:t>bet</w:t>
        </w:r>
      </w:hyperlink>
      <w:hyperlink r:id="rId246">
        <w:r w:rsidRPr="005411B3">
          <w:rPr>
            <w:rFonts w:ascii="Arial" w:hAnsi="Arial" w:cs="Arial"/>
            <w:color w:val="auto"/>
            <w:sz w:val="18"/>
            <w:szCs w:val="18"/>
            <w:u w:color="0000FF"/>
          </w:rPr>
          <w:t>-</w:t>
        </w:r>
      </w:hyperlink>
      <w:hyperlink r:id="rId247">
        <w:r w:rsidRPr="005411B3">
          <w:rPr>
            <w:rFonts w:ascii="Arial" w:hAnsi="Arial" w:cs="Arial"/>
            <w:color w:val="auto"/>
            <w:sz w:val="18"/>
            <w:szCs w:val="18"/>
            <w:u w:color="0000FF"/>
          </w:rPr>
          <w:t>on</w:t>
        </w:r>
      </w:hyperlink>
      <w:hyperlink r:id="rId248">
        <w:r w:rsidRPr="005411B3">
          <w:rPr>
            <w:rFonts w:ascii="Arial" w:hAnsi="Arial" w:cs="Arial"/>
            <w:color w:val="auto"/>
            <w:sz w:val="18"/>
            <w:szCs w:val="18"/>
            <w:u w:color="0000FF"/>
          </w:rPr>
          <w:t>-</w:t>
        </w:r>
      </w:hyperlink>
      <w:hyperlink r:id="rId249">
        <w:r w:rsidRPr="005411B3">
          <w:rPr>
            <w:rFonts w:ascii="Arial" w:hAnsi="Arial" w:cs="Arial"/>
            <w:color w:val="auto"/>
            <w:sz w:val="18"/>
            <w:szCs w:val="18"/>
            <w:u w:color="0000FF"/>
          </w:rPr>
          <w:t>openai</w:t>
        </w:r>
      </w:hyperlink>
      <w:hyperlink r:id="rId250">
        <w:r w:rsidRPr="005411B3">
          <w:rPr>
            <w:rFonts w:ascii="Arial" w:hAnsi="Arial" w:cs="Arial"/>
            <w:color w:val="auto"/>
            <w:sz w:val="18"/>
            <w:szCs w:val="18"/>
            <w:u w:color="0000FF"/>
          </w:rPr>
          <w:t>-</w:t>
        </w:r>
      </w:hyperlink>
      <w:hyperlink r:id="rId251">
        <w:r w:rsidRPr="005411B3">
          <w:rPr>
            <w:rFonts w:ascii="Arial" w:hAnsi="Arial" w:cs="Arial"/>
            <w:color w:val="auto"/>
            <w:sz w:val="18"/>
            <w:szCs w:val="18"/>
            <w:u w:color="0000FF"/>
          </w:rPr>
          <w:t>brings</w:t>
        </w:r>
      </w:hyperlink>
      <w:hyperlink r:id="rId252">
        <w:r w:rsidRPr="005411B3">
          <w:rPr>
            <w:rFonts w:ascii="Arial" w:hAnsi="Arial" w:cs="Arial"/>
            <w:color w:val="auto"/>
            <w:sz w:val="18"/>
            <w:szCs w:val="18"/>
            <w:u w:color="0000FF"/>
          </w:rPr>
          <w:t>-</w:t>
        </w:r>
      </w:hyperlink>
      <w:hyperlink r:id="rId253">
        <w:r w:rsidRPr="005411B3">
          <w:rPr>
            <w:rFonts w:ascii="Arial" w:hAnsi="Arial" w:cs="Arial"/>
            <w:color w:val="auto"/>
            <w:sz w:val="18"/>
            <w:szCs w:val="18"/>
            <w:u w:color="0000FF"/>
          </w:rPr>
          <w:t>potential</w:t>
        </w:r>
      </w:hyperlink>
      <w:hyperlink r:id="rId254">
        <w:r w:rsidRPr="005411B3">
          <w:rPr>
            <w:rFonts w:ascii="Arial" w:hAnsi="Arial" w:cs="Arial"/>
            <w:color w:val="auto"/>
            <w:sz w:val="18"/>
            <w:szCs w:val="18"/>
            <w:u w:color="0000FF"/>
          </w:rPr>
          <w:t>-</w:t>
        </w:r>
      </w:hyperlink>
      <w:hyperlink r:id="rId255">
        <w:r w:rsidRPr="005411B3">
          <w:rPr>
            <w:rFonts w:ascii="Arial" w:hAnsi="Arial" w:cs="Arial"/>
            <w:color w:val="auto"/>
            <w:sz w:val="18"/>
            <w:szCs w:val="18"/>
            <w:u w:color="0000FF"/>
          </w:rPr>
          <w:t>and</w:t>
        </w:r>
      </w:hyperlink>
      <w:hyperlink r:id="rId256">
        <w:r w:rsidRPr="005411B3">
          <w:rPr>
            <w:rFonts w:ascii="Arial" w:hAnsi="Arial" w:cs="Arial"/>
            <w:color w:val="auto"/>
            <w:sz w:val="18"/>
            <w:szCs w:val="18"/>
            <w:u w:color="0000FF"/>
          </w:rPr>
          <w:t>-</w:t>
        </w:r>
      </w:hyperlink>
      <w:hyperlink r:id="rId257">
        <w:r w:rsidRPr="005411B3">
          <w:rPr>
            <w:rFonts w:ascii="Arial" w:hAnsi="Arial" w:cs="Arial"/>
            <w:color w:val="auto"/>
            <w:sz w:val="18"/>
            <w:szCs w:val="18"/>
            <w:u w:color="0000FF"/>
          </w:rPr>
          <w:t>uncertainty.html</w:t>
        </w:r>
      </w:hyperlink>
      <w:hyperlink r:id="rId258">
        <w:r w:rsidRPr="005411B3">
          <w:rPr>
            <w:rFonts w:ascii="Arial" w:hAnsi="Arial" w:cs="Arial"/>
            <w:color w:val="auto"/>
            <w:sz w:val="18"/>
            <w:szCs w:val="18"/>
            <w:u w:val="single" w:color="000000"/>
          </w:rPr>
          <w:t xml:space="preserve">  </w:t>
        </w:r>
      </w:hyperlink>
      <w:r w:rsidRPr="005411B3">
        <w:rPr>
          <w:rFonts w:ascii="Arial" w:hAnsi="Arial" w:cs="Arial"/>
          <w:color w:val="auto"/>
          <w:sz w:val="18"/>
          <w:szCs w:val="18"/>
          <w:u w:val="single" w:color="000000"/>
        </w:rPr>
        <w:t xml:space="preserve"> </w:t>
      </w:r>
    </w:p>
  </w:footnote>
  <w:footnote w:id="44">
    <w:p w14:paraId="67747A2C" w14:textId="77777777" w:rsidR="00E617E2" w:rsidRPr="005411B3" w:rsidRDefault="00E617E2" w:rsidP="00E617E2">
      <w:pPr>
        <w:pStyle w:val="footnotedescription"/>
        <w:ind w:left="144" w:hanging="144"/>
        <w:rPr>
          <w:rFonts w:ascii="Arial" w:hAnsi="Arial" w:cs="Arial"/>
          <w:color w:val="auto"/>
          <w:sz w:val="18"/>
          <w:szCs w:val="18"/>
        </w:rPr>
      </w:pPr>
      <w:r w:rsidRPr="005411B3">
        <w:rPr>
          <w:rStyle w:val="footnotemark"/>
          <w:rFonts w:ascii="Arial" w:hAnsi="Arial" w:cs="Arial"/>
          <w:color w:val="auto"/>
          <w:sz w:val="18"/>
          <w:szCs w:val="18"/>
        </w:rPr>
        <w:footnoteRef/>
      </w:r>
      <w:r w:rsidRPr="005411B3">
        <w:rPr>
          <w:rFonts w:ascii="Arial" w:hAnsi="Arial" w:cs="Arial"/>
          <w:color w:val="auto"/>
          <w:sz w:val="18"/>
          <w:szCs w:val="18"/>
        </w:rPr>
        <w:t xml:space="preserve"> </w:t>
      </w:r>
      <w:hyperlink r:id="rId259">
        <w:r w:rsidRPr="005411B3">
          <w:rPr>
            <w:rFonts w:ascii="Arial" w:hAnsi="Arial" w:cs="Arial"/>
            <w:color w:val="auto"/>
            <w:sz w:val="18"/>
            <w:szCs w:val="18"/>
          </w:rPr>
          <w:t>https://www.washingtonpost.com/technology/2023/04/05/chatgpt</w:t>
        </w:r>
      </w:hyperlink>
      <w:hyperlink r:id="rId260">
        <w:r w:rsidRPr="005411B3">
          <w:rPr>
            <w:rFonts w:ascii="Arial" w:hAnsi="Arial" w:cs="Arial"/>
            <w:color w:val="auto"/>
            <w:sz w:val="18"/>
            <w:szCs w:val="18"/>
          </w:rPr>
          <w:t>-</w:t>
        </w:r>
      </w:hyperlink>
      <w:hyperlink r:id="rId261">
        <w:r w:rsidRPr="005411B3">
          <w:rPr>
            <w:rFonts w:ascii="Arial" w:hAnsi="Arial" w:cs="Arial"/>
            <w:color w:val="auto"/>
            <w:sz w:val="18"/>
            <w:szCs w:val="18"/>
          </w:rPr>
          <w:t>lies/</w:t>
        </w:r>
      </w:hyperlink>
      <w:hyperlink r:id="rId262">
        <w:r w:rsidRPr="005411B3">
          <w:rPr>
            <w:rFonts w:ascii="Arial" w:hAnsi="Arial" w:cs="Arial"/>
            <w:color w:val="auto"/>
            <w:sz w:val="18"/>
            <w:szCs w:val="18"/>
            <w:u w:color="000000"/>
          </w:rPr>
          <w:t xml:space="preserve">  </w:t>
        </w:r>
      </w:hyperlink>
    </w:p>
  </w:footnote>
  <w:footnote w:id="45">
    <w:p w14:paraId="7A7FD13B" w14:textId="77777777" w:rsidR="00E617E2" w:rsidRPr="005411B3" w:rsidRDefault="00E617E2" w:rsidP="00E617E2">
      <w:pPr>
        <w:pStyle w:val="footnotedescription"/>
        <w:spacing w:after="7" w:line="246" w:lineRule="auto"/>
        <w:ind w:left="144" w:right="900" w:hanging="144"/>
        <w:rPr>
          <w:rFonts w:ascii="Arial" w:hAnsi="Arial" w:cs="Arial"/>
          <w:color w:val="auto"/>
          <w:sz w:val="18"/>
          <w:szCs w:val="18"/>
          <w:u w:color="000000"/>
        </w:rPr>
      </w:pPr>
      <w:r w:rsidRPr="005411B3">
        <w:rPr>
          <w:rStyle w:val="footnotemark"/>
          <w:rFonts w:ascii="Arial" w:hAnsi="Arial" w:cs="Arial"/>
          <w:color w:val="auto"/>
          <w:sz w:val="18"/>
          <w:szCs w:val="18"/>
        </w:rPr>
        <w:footnoteRef/>
      </w:r>
      <w:r w:rsidRPr="005411B3">
        <w:rPr>
          <w:rFonts w:ascii="Arial" w:hAnsi="Arial" w:cs="Arial"/>
          <w:color w:val="auto"/>
          <w:sz w:val="18"/>
          <w:szCs w:val="18"/>
        </w:rPr>
        <w:t xml:space="preserve"> </w:t>
      </w:r>
      <w:hyperlink r:id="rId263">
        <w:r w:rsidRPr="005411B3">
          <w:rPr>
            <w:rFonts w:ascii="Arial" w:hAnsi="Arial" w:cs="Arial"/>
            <w:color w:val="auto"/>
            <w:sz w:val="18"/>
            <w:szCs w:val="18"/>
          </w:rPr>
          <w:t>https://www.theguardian.com/commentisfree/2023/apr/06/ai</w:t>
        </w:r>
      </w:hyperlink>
      <w:hyperlink r:id="rId264">
        <w:r w:rsidRPr="005411B3">
          <w:rPr>
            <w:rFonts w:ascii="Arial" w:hAnsi="Arial" w:cs="Arial"/>
            <w:color w:val="auto"/>
            <w:sz w:val="18"/>
            <w:szCs w:val="18"/>
          </w:rPr>
          <w:t>-</w:t>
        </w:r>
      </w:hyperlink>
      <w:hyperlink r:id="rId265">
        <w:r w:rsidRPr="005411B3">
          <w:rPr>
            <w:rFonts w:ascii="Arial" w:hAnsi="Arial" w:cs="Arial"/>
            <w:color w:val="auto"/>
            <w:sz w:val="18"/>
            <w:szCs w:val="18"/>
          </w:rPr>
          <w:t>chatgpt</w:t>
        </w:r>
      </w:hyperlink>
      <w:hyperlink r:id="rId266">
        <w:r w:rsidRPr="005411B3">
          <w:rPr>
            <w:rFonts w:ascii="Arial" w:hAnsi="Arial" w:cs="Arial"/>
            <w:color w:val="auto"/>
            <w:sz w:val="18"/>
            <w:szCs w:val="18"/>
          </w:rPr>
          <w:t>-</w:t>
        </w:r>
      </w:hyperlink>
      <w:hyperlink r:id="rId267">
        <w:r w:rsidRPr="005411B3">
          <w:rPr>
            <w:rFonts w:ascii="Arial" w:hAnsi="Arial" w:cs="Arial"/>
            <w:color w:val="auto"/>
            <w:sz w:val="18"/>
            <w:szCs w:val="18"/>
          </w:rPr>
          <w:t>guardian</w:t>
        </w:r>
      </w:hyperlink>
      <w:hyperlink r:id="rId268">
        <w:r w:rsidRPr="005411B3">
          <w:rPr>
            <w:rFonts w:ascii="Arial" w:hAnsi="Arial" w:cs="Arial"/>
            <w:color w:val="auto"/>
            <w:sz w:val="18"/>
            <w:szCs w:val="18"/>
          </w:rPr>
          <w:t>-</w:t>
        </w:r>
      </w:hyperlink>
      <w:hyperlink r:id="rId269" w:history="1">
        <w:r w:rsidRPr="005411B3">
          <w:rPr>
            <w:rStyle w:val="Hyperlink"/>
            <w:rFonts w:ascii="Arial" w:hAnsi="Arial" w:cs="Arial"/>
            <w:color w:val="auto"/>
            <w:szCs w:val="18"/>
          </w:rPr>
          <w:t>technology</w:t>
        </w:r>
      </w:hyperlink>
      <w:hyperlink r:id="rId270">
        <w:r w:rsidRPr="005411B3">
          <w:rPr>
            <w:rFonts w:ascii="Arial" w:hAnsi="Arial" w:cs="Arial"/>
            <w:color w:val="auto"/>
            <w:sz w:val="18"/>
            <w:szCs w:val="18"/>
          </w:rPr>
          <w:t>-</w:t>
        </w:r>
      </w:hyperlink>
      <w:hyperlink r:id="rId271">
        <w:r w:rsidRPr="005411B3">
          <w:rPr>
            <w:rFonts w:ascii="Arial" w:hAnsi="Arial" w:cs="Arial"/>
            <w:color w:val="auto"/>
            <w:sz w:val="18"/>
            <w:szCs w:val="18"/>
          </w:rPr>
          <w:t>risks</w:t>
        </w:r>
      </w:hyperlink>
      <w:hyperlink r:id="rId272">
        <w:r w:rsidRPr="005411B3">
          <w:rPr>
            <w:rFonts w:ascii="Arial" w:hAnsi="Arial" w:cs="Arial"/>
            <w:color w:val="auto"/>
            <w:sz w:val="18"/>
            <w:szCs w:val="18"/>
          </w:rPr>
          <w:t>-</w:t>
        </w:r>
      </w:hyperlink>
      <w:hyperlink r:id="rId273">
        <w:r w:rsidRPr="005411B3">
          <w:rPr>
            <w:rFonts w:ascii="Arial" w:hAnsi="Arial" w:cs="Arial"/>
            <w:color w:val="auto"/>
            <w:sz w:val="18"/>
            <w:szCs w:val="18"/>
          </w:rPr>
          <w:t>fake</w:t>
        </w:r>
      </w:hyperlink>
      <w:hyperlink r:id="rId274">
        <w:r w:rsidRPr="005411B3">
          <w:rPr>
            <w:rFonts w:ascii="Arial" w:hAnsi="Arial" w:cs="Arial"/>
            <w:color w:val="auto"/>
            <w:sz w:val="18"/>
            <w:szCs w:val="18"/>
          </w:rPr>
          <w:t>-</w:t>
        </w:r>
      </w:hyperlink>
      <w:hyperlink r:id="rId275">
        <w:r w:rsidRPr="005411B3">
          <w:rPr>
            <w:rFonts w:ascii="Arial" w:hAnsi="Arial" w:cs="Arial"/>
            <w:color w:val="auto"/>
            <w:sz w:val="18"/>
            <w:szCs w:val="18"/>
          </w:rPr>
          <w:t>article</w:t>
        </w:r>
      </w:hyperlink>
      <w:hyperlink r:id="rId276">
        <w:r w:rsidRPr="005411B3">
          <w:rPr>
            <w:rFonts w:ascii="Arial" w:hAnsi="Arial" w:cs="Arial"/>
            <w:color w:val="auto"/>
            <w:sz w:val="18"/>
            <w:szCs w:val="18"/>
            <w:u w:color="000000"/>
          </w:rPr>
          <w:t xml:space="preserve">  </w:t>
        </w:r>
      </w:hyperlink>
    </w:p>
    <w:p w14:paraId="148AD02E" w14:textId="77777777" w:rsidR="00E617E2" w:rsidRPr="005411B3" w:rsidRDefault="00000000" w:rsidP="00E617E2">
      <w:pPr>
        <w:pStyle w:val="footnotedescription"/>
        <w:spacing w:after="7" w:line="246" w:lineRule="auto"/>
        <w:ind w:left="144" w:right="3997" w:hanging="144"/>
        <w:rPr>
          <w:rFonts w:ascii="Arial" w:hAnsi="Arial" w:cs="Arial"/>
          <w:color w:val="auto"/>
          <w:sz w:val="18"/>
          <w:szCs w:val="18"/>
        </w:rPr>
      </w:pPr>
      <w:hyperlink r:id="rId277" w:anchor="faq">
        <w:r w:rsidR="00E617E2" w:rsidRPr="005411B3">
          <w:rPr>
            <w:rFonts w:ascii="Arial" w:hAnsi="Arial" w:cs="Arial"/>
            <w:color w:val="auto"/>
            <w:sz w:val="18"/>
            <w:szCs w:val="18"/>
            <w:u w:color="000000"/>
            <w:vertAlign w:val="superscript"/>
          </w:rPr>
          <w:t>5</w:t>
        </w:r>
      </w:hyperlink>
      <w:hyperlink r:id="rId278" w:anchor="faq">
        <w:r w:rsidR="00E617E2" w:rsidRPr="005411B3">
          <w:rPr>
            <w:rFonts w:ascii="Arial" w:hAnsi="Arial" w:cs="Arial"/>
            <w:color w:val="auto"/>
            <w:sz w:val="18"/>
            <w:szCs w:val="18"/>
            <w:u w:color="000000"/>
          </w:rPr>
          <w:t xml:space="preserve"> </w:t>
        </w:r>
      </w:hyperlink>
      <w:hyperlink r:id="rId279" w:anchor="faq">
        <w:r w:rsidR="00E617E2" w:rsidRPr="005411B3">
          <w:rPr>
            <w:rFonts w:ascii="Arial" w:hAnsi="Arial" w:cs="Arial"/>
            <w:color w:val="auto"/>
            <w:sz w:val="18"/>
            <w:szCs w:val="18"/>
          </w:rPr>
          <w:t>https://www.bing.com/new#faq</w:t>
        </w:r>
      </w:hyperlink>
      <w:hyperlink r:id="rId280" w:anchor="faq">
        <w:r w:rsidR="00E617E2" w:rsidRPr="005411B3">
          <w:rPr>
            <w:rFonts w:ascii="Arial" w:hAnsi="Arial" w:cs="Arial"/>
            <w:color w:val="auto"/>
            <w:sz w:val="18"/>
            <w:szCs w:val="18"/>
            <w:u w:color="000000"/>
          </w:rPr>
          <w:t xml:space="preserve">  </w:t>
        </w:r>
      </w:hyperlink>
    </w:p>
  </w:footnote>
  <w:footnote w:id="46">
    <w:p w14:paraId="2C611F0C" w14:textId="77777777" w:rsidR="00E617E2" w:rsidRPr="005411B3" w:rsidRDefault="00E617E2" w:rsidP="00E617E2">
      <w:pPr>
        <w:pStyle w:val="FootnoteText"/>
        <w:ind w:left="144" w:hanging="144"/>
        <w:rPr>
          <w:rFonts w:ascii="Arial" w:hAnsi="Arial" w:cs="Arial"/>
          <w:sz w:val="2"/>
          <w:szCs w:val="2"/>
        </w:rPr>
      </w:pPr>
    </w:p>
  </w:footnote>
  <w:footnote w:id="47">
    <w:p w14:paraId="24F0DAE4" w14:textId="77777777" w:rsidR="00E617E2" w:rsidRPr="005411B3" w:rsidRDefault="00E617E2" w:rsidP="00E617E2">
      <w:pPr>
        <w:pStyle w:val="footnotedescription"/>
        <w:ind w:left="144" w:hanging="144"/>
        <w:rPr>
          <w:rFonts w:ascii="Arial" w:hAnsi="Arial" w:cs="Arial"/>
          <w:color w:val="auto"/>
          <w:sz w:val="18"/>
          <w:szCs w:val="18"/>
        </w:rPr>
      </w:pPr>
      <w:r w:rsidRPr="005411B3">
        <w:rPr>
          <w:rStyle w:val="footnotemark"/>
          <w:rFonts w:ascii="Arial" w:hAnsi="Arial" w:cs="Arial"/>
          <w:color w:val="auto"/>
          <w:sz w:val="18"/>
          <w:szCs w:val="18"/>
        </w:rPr>
        <w:footnoteRef/>
      </w:r>
      <w:r w:rsidRPr="005411B3">
        <w:rPr>
          <w:rFonts w:ascii="Arial" w:hAnsi="Arial" w:cs="Arial"/>
          <w:color w:val="auto"/>
          <w:sz w:val="18"/>
          <w:szCs w:val="18"/>
        </w:rPr>
        <w:t xml:space="preserve"> </w:t>
      </w:r>
      <w:hyperlink r:id="rId281">
        <w:r w:rsidRPr="005411B3">
          <w:rPr>
            <w:rFonts w:ascii="Arial" w:hAnsi="Arial" w:cs="Arial"/>
            <w:color w:val="auto"/>
            <w:sz w:val="18"/>
            <w:szCs w:val="18"/>
          </w:rPr>
          <w:t>https://www.nytimes.com/2023/02/08/technology/ai</w:t>
        </w:r>
      </w:hyperlink>
      <w:hyperlink r:id="rId282">
        <w:r w:rsidRPr="005411B3">
          <w:rPr>
            <w:rFonts w:ascii="Arial" w:hAnsi="Arial" w:cs="Arial"/>
            <w:color w:val="auto"/>
            <w:sz w:val="18"/>
            <w:szCs w:val="18"/>
          </w:rPr>
          <w:t>-</w:t>
        </w:r>
      </w:hyperlink>
      <w:hyperlink r:id="rId283">
        <w:r w:rsidRPr="005411B3">
          <w:rPr>
            <w:rFonts w:ascii="Arial" w:hAnsi="Arial" w:cs="Arial"/>
            <w:color w:val="auto"/>
            <w:sz w:val="18"/>
            <w:szCs w:val="18"/>
          </w:rPr>
          <w:t>chatbots</w:t>
        </w:r>
      </w:hyperlink>
      <w:hyperlink r:id="rId284">
        <w:r w:rsidRPr="005411B3">
          <w:rPr>
            <w:rFonts w:ascii="Arial" w:hAnsi="Arial" w:cs="Arial"/>
            <w:color w:val="auto"/>
            <w:sz w:val="18"/>
            <w:szCs w:val="18"/>
          </w:rPr>
          <w:t>-</w:t>
        </w:r>
      </w:hyperlink>
      <w:hyperlink r:id="rId285">
        <w:r w:rsidRPr="005411B3">
          <w:rPr>
            <w:rFonts w:ascii="Arial" w:hAnsi="Arial" w:cs="Arial"/>
            <w:color w:val="auto"/>
            <w:sz w:val="18"/>
            <w:szCs w:val="18"/>
          </w:rPr>
          <w:t>disinformation.html</w:t>
        </w:r>
      </w:hyperlink>
      <w:hyperlink r:id="rId286">
        <w:r w:rsidRPr="005411B3">
          <w:rPr>
            <w:rFonts w:ascii="Arial" w:hAnsi="Arial" w:cs="Arial"/>
            <w:color w:val="auto"/>
            <w:sz w:val="18"/>
            <w:szCs w:val="18"/>
            <w:u w:color="000000"/>
          </w:rPr>
          <w:t xml:space="preserve">  </w:t>
        </w:r>
      </w:hyperlink>
    </w:p>
  </w:footnote>
  <w:footnote w:id="48">
    <w:p w14:paraId="470A13E6" w14:textId="77777777" w:rsidR="00E617E2" w:rsidRPr="005411B3" w:rsidRDefault="00E617E2" w:rsidP="00E617E2">
      <w:pPr>
        <w:pStyle w:val="footnotedescription"/>
        <w:ind w:left="144" w:hanging="144"/>
        <w:rPr>
          <w:rFonts w:ascii="Arial" w:hAnsi="Arial" w:cs="Arial"/>
          <w:color w:val="auto"/>
          <w:sz w:val="18"/>
          <w:szCs w:val="18"/>
        </w:rPr>
      </w:pPr>
      <w:r w:rsidRPr="005411B3">
        <w:rPr>
          <w:rStyle w:val="footnotemark"/>
          <w:rFonts w:ascii="Arial" w:hAnsi="Arial" w:cs="Arial"/>
          <w:color w:val="auto"/>
          <w:sz w:val="18"/>
          <w:szCs w:val="18"/>
        </w:rPr>
        <w:footnoteRef/>
      </w:r>
      <w:r w:rsidRPr="005411B3">
        <w:rPr>
          <w:rFonts w:ascii="Arial" w:hAnsi="Arial" w:cs="Arial"/>
          <w:color w:val="auto"/>
          <w:sz w:val="18"/>
          <w:szCs w:val="18"/>
        </w:rPr>
        <w:t xml:space="preserve"> </w:t>
      </w:r>
      <w:hyperlink r:id="rId287">
        <w:r w:rsidRPr="005411B3">
          <w:rPr>
            <w:rFonts w:ascii="Arial" w:hAnsi="Arial" w:cs="Arial"/>
            <w:color w:val="auto"/>
            <w:sz w:val="18"/>
            <w:szCs w:val="18"/>
          </w:rPr>
          <w:t>https://www.eurasiagroup.net/issues/top</w:t>
        </w:r>
      </w:hyperlink>
      <w:hyperlink r:id="rId288">
        <w:r w:rsidRPr="005411B3">
          <w:rPr>
            <w:rFonts w:ascii="Arial" w:hAnsi="Arial" w:cs="Arial"/>
            <w:color w:val="auto"/>
            <w:sz w:val="18"/>
            <w:szCs w:val="18"/>
          </w:rPr>
          <w:t>-</w:t>
        </w:r>
      </w:hyperlink>
      <w:hyperlink r:id="rId289">
        <w:r w:rsidRPr="005411B3">
          <w:rPr>
            <w:rFonts w:ascii="Arial" w:hAnsi="Arial" w:cs="Arial"/>
            <w:color w:val="auto"/>
            <w:sz w:val="18"/>
            <w:szCs w:val="18"/>
          </w:rPr>
          <w:t>risks</w:t>
        </w:r>
      </w:hyperlink>
      <w:hyperlink r:id="rId290">
        <w:r w:rsidRPr="005411B3">
          <w:rPr>
            <w:rFonts w:ascii="Arial" w:hAnsi="Arial" w:cs="Arial"/>
            <w:color w:val="auto"/>
            <w:sz w:val="18"/>
            <w:szCs w:val="18"/>
          </w:rPr>
          <w:t>-</w:t>
        </w:r>
      </w:hyperlink>
      <w:hyperlink r:id="rId291">
        <w:r w:rsidRPr="005411B3">
          <w:rPr>
            <w:rFonts w:ascii="Arial" w:hAnsi="Arial" w:cs="Arial"/>
            <w:color w:val="auto"/>
            <w:sz w:val="18"/>
            <w:szCs w:val="18"/>
          </w:rPr>
          <w:t>2023</w:t>
        </w:r>
      </w:hyperlink>
      <w:hyperlink r:id="rId292">
        <w:r w:rsidRPr="005411B3">
          <w:rPr>
            <w:rFonts w:ascii="Arial" w:hAnsi="Arial" w:cs="Arial"/>
            <w:color w:val="auto"/>
            <w:sz w:val="18"/>
            <w:szCs w:val="18"/>
            <w:u w:color="000000"/>
          </w:rPr>
          <w:t xml:space="preserve">  </w:t>
        </w:r>
      </w:hyperlink>
    </w:p>
  </w:footnote>
  <w:footnote w:id="49">
    <w:p w14:paraId="68AA4BCC" w14:textId="77777777" w:rsidR="00E617E2" w:rsidRPr="005411B3" w:rsidRDefault="00E617E2" w:rsidP="00E617E2">
      <w:pPr>
        <w:pStyle w:val="footnotedescription"/>
        <w:ind w:left="144" w:hanging="144"/>
        <w:rPr>
          <w:rFonts w:ascii="Arial" w:hAnsi="Arial" w:cs="Arial"/>
          <w:color w:val="auto"/>
          <w:sz w:val="18"/>
          <w:szCs w:val="18"/>
        </w:rPr>
      </w:pPr>
      <w:r w:rsidRPr="005411B3">
        <w:rPr>
          <w:rStyle w:val="footnotemark"/>
          <w:rFonts w:ascii="Arial" w:hAnsi="Arial" w:cs="Arial"/>
          <w:color w:val="auto"/>
          <w:sz w:val="18"/>
          <w:szCs w:val="18"/>
        </w:rPr>
        <w:footnoteRef/>
      </w:r>
      <w:r w:rsidRPr="005411B3">
        <w:rPr>
          <w:rFonts w:ascii="Arial" w:hAnsi="Arial" w:cs="Arial"/>
          <w:color w:val="auto"/>
          <w:sz w:val="18"/>
          <w:szCs w:val="18"/>
        </w:rPr>
        <w:t xml:space="preserve"> </w:t>
      </w:r>
      <w:hyperlink r:id="rId293">
        <w:r w:rsidRPr="005411B3">
          <w:rPr>
            <w:rFonts w:ascii="Arial" w:hAnsi="Arial" w:cs="Arial"/>
            <w:color w:val="auto"/>
            <w:sz w:val="18"/>
            <w:szCs w:val="18"/>
          </w:rPr>
          <w:t>https://ballotpedia.org/United_States_Congress_elections,_2024</w:t>
        </w:r>
      </w:hyperlink>
      <w:hyperlink r:id="rId294">
        <w:r w:rsidRPr="005411B3">
          <w:rPr>
            <w:rFonts w:ascii="Arial" w:hAnsi="Arial" w:cs="Arial"/>
            <w:color w:val="auto"/>
            <w:sz w:val="18"/>
            <w:szCs w:val="18"/>
            <w:u w:color="000000"/>
          </w:rPr>
          <w:t xml:space="preserve">  </w:t>
        </w:r>
      </w:hyperlink>
    </w:p>
  </w:footnote>
  <w:footnote w:id="50">
    <w:p w14:paraId="682ACADE" w14:textId="77777777" w:rsidR="00E617E2" w:rsidRPr="005411B3" w:rsidRDefault="00E617E2" w:rsidP="00E617E2">
      <w:pPr>
        <w:pStyle w:val="footnotedescription"/>
        <w:ind w:left="144" w:hanging="144"/>
        <w:rPr>
          <w:rFonts w:ascii="Arial" w:hAnsi="Arial" w:cs="Arial"/>
          <w:color w:val="auto"/>
          <w:sz w:val="18"/>
          <w:szCs w:val="18"/>
        </w:rPr>
      </w:pPr>
      <w:r w:rsidRPr="005411B3">
        <w:rPr>
          <w:rStyle w:val="footnotemark"/>
          <w:rFonts w:ascii="Arial" w:hAnsi="Arial" w:cs="Arial"/>
          <w:color w:val="auto"/>
          <w:sz w:val="18"/>
          <w:szCs w:val="18"/>
        </w:rPr>
        <w:footnoteRef/>
      </w:r>
      <w:r w:rsidRPr="005411B3">
        <w:rPr>
          <w:rFonts w:ascii="Arial" w:hAnsi="Arial" w:cs="Arial"/>
          <w:color w:val="auto"/>
          <w:sz w:val="18"/>
          <w:szCs w:val="18"/>
        </w:rPr>
        <w:t xml:space="preserve"> </w:t>
      </w:r>
      <w:hyperlink r:id="rId295">
        <w:r w:rsidRPr="005411B3">
          <w:rPr>
            <w:rFonts w:ascii="Arial" w:hAnsi="Arial" w:cs="Arial"/>
            <w:color w:val="auto"/>
            <w:sz w:val="18"/>
            <w:szCs w:val="18"/>
          </w:rPr>
          <w:t>https://www.ft.com/content/c6972372</w:t>
        </w:r>
      </w:hyperlink>
      <w:hyperlink r:id="rId296">
        <w:r w:rsidRPr="005411B3">
          <w:rPr>
            <w:rFonts w:ascii="Arial" w:hAnsi="Arial" w:cs="Arial"/>
            <w:color w:val="auto"/>
            <w:sz w:val="18"/>
            <w:szCs w:val="18"/>
          </w:rPr>
          <w:t>-</w:t>
        </w:r>
      </w:hyperlink>
      <w:hyperlink r:id="rId297">
        <w:r w:rsidRPr="005411B3">
          <w:rPr>
            <w:rFonts w:ascii="Arial" w:hAnsi="Arial" w:cs="Arial"/>
            <w:color w:val="auto"/>
            <w:sz w:val="18"/>
            <w:szCs w:val="18"/>
          </w:rPr>
          <w:t>a02a</w:t>
        </w:r>
      </w:hyperlink>
      <w:hyperlink r:id="rId298">
        <w:r w:rsidRPr="005411B3">
          <w:rPr>
            <w:rFonts w:ascii="Arial" w:hAnsi="Arial" w:cs="Arial"/>
            <w:color w:val="auto"/>
            <w:sz w:val="18"/>
            <w:szCs w:val="18"/>
          </w:rPr>
          <w:t>-</w:t>
        </w:r>
      </w:hyperlink>
      <w:hyperlink r:id="rId299">
        <w:r w:rsidRPr="005411B3">
          <w:rPr>
            <w:rFonts w:ascii="Arial" w:hAnsi="Arial" w:cs="Arial"/>
            <w:color w:val="auto"/>
            <w:sz w:val="18"/>
            <w:szCs w:val="18"/>
          </w:rPr>
          <w:t>4b42</w:t>
        </w:r>
      </w:hyperlink>
      <w:hyperlink r:id="rId300">
        <w:r w:rsidRPr="005411B3">
          <w:rPr>
            <w:rFonts w:ascii="Arial" w:hAnsi="Arial" w:cs="Arial"/>
            <w:color w:val="auto"/>
            <w:sz w:val="18"/>
            <w:szCs w:val="18"/>
          </w:rPr>
          <w:t>-</w:t>
        </w:r>
      </w:hyperlink>
      <w:hyperlink r:id="rId301">
        <w:r w:rsidRPr="005411B3">
          <w:rPr>
            <w:rFonts w:ascii="Arial" w:hAnsi="Arial" w:cs="Arial"/>
            <w:color w:val="auto"/>
            <w:sz w:val="18"/>
            <w:szCs w:val="18"/>
          </w:rPr>
          <w:t>abba</w:t>
        </w:r>
      </w:hyperlink>
      <w:hyperlink r:id="rId302">
        <w:r w:rsidRPr="005411B3">
          <w:rPr>
            <w:rFonts w:ascii="Arial" w:hAnsi="Arial" w:cs="Arial"/>
            <w:color w:val="auto"/>
            <w:sz w:val="18"/>
            <w:szCs w:val="18"/>
          </w:rPr>
          <w:t>-</w:t>
        </w:r>
      </w:hyperlink>
      <w:hyperlink r:id="rId303">
        <w:r w:rsidRPr="005411B3">
          <w:rPr>
            <w:rFonts w:ascii="Arial" w:hAnsi="Arial" w:cs="Arial"/>
            <w:color w:val="auto"/>
            <w:sz w:val="18"/>
            <w:szCs w:val="18"/>
          </w:rPr>
          <w:t>3d98296e08f3</w:t>
        </w:r>
      </w:hyperlink>
      <w:hyperlink r:id="rId304">
        <w:r w:rsidRPr="005411B3">
          <w:rPr>
            <w:rFonts w:ascii="Arial" w:hAnsi="Arial" w:cs="Arial"/>
            <w:color w:val="auto"/>
            <w:sz w:val="18"/>
            <w:szCs w:val="18"/>
            <w:u w:color="000000"/>
          </w:rPr>
          <w:t xml:space="preserve">  </w:t>
        </w:r>
      </w:hyperlink>
    </w:p>
  </w:footnote>
  <w:footnote w:id="51">
    <w:p w14:paraId="4CB586DB" w14:textId="77777777" w:rsidR="00E617E2" w:rsidRPr="005411B3" w:rsidRDefault="00E617E2" w:rsidP="00E617E2">
      <w:pPr>
        <w:pStyle w:val="footnotedescription"/>
        <w:ind w:left="144" w:hanging="144"/>
        <w:rPr>
          <w:rFonts w:ascii="Arial" w:hAnsi="Arial" w:cs="Arial"/>
          <w:color w:val="auto"/>
          <w:sz w:val="18"/>
          <w:szCs w:val="18"/>
        </w:rPr>
      </w:pPr>
      <w:r w:rsidRPr="005411B3">
        <w:rPr>
          <w:rStyle w:val="footnotemark"/>
          <w:rFonts w:ascii="Arial" w:hAnsi="Arial" w:cs="Arial"/>
          <w:color w:val="auto"/>
          <w:sz w:val="18"/>
          <w:szCs w:val="18"/>
        </w:rPr>
        <w:footnoteRef/>
      </w:r>
      <w:r w:rsidRPr="005411B3">
        <w:rPr>
          <w:rFonts w:ascii="Arial" w:hAnsi="Arial" w:cs="Arial"/>
          <w:color w:val="auto"/>
          <w:sz w:val="18"/>
          <w:szCs w:val="18"/>
        </w:rPr>
        <w:t xml:space="preserve"> </w:t>
      </w:r>
      <w:hyperlink r:id="rId305">
        <w:r w:rsidRPr="005411B3">
          <w:rPr>
            <w:rFonts w:ascii="Arial" w:hAnsi="Arial" w:cs="Arial"/>
            <w:color w:val="auto"/>
            <w:sz w:val="18"/>
            <w:szCs w:val="18"/>
          </w:rPr>
          <w:t>https://www.washingtonpost.com/politics/2023/03/17/ai</w:t>
        </w:r>
      </w:hyperlink>
      <w:hyperlink r:id="rId306">
        <w:r w:rsidRPr="005411B3">
          <w:rPr>
            <w:rFonts w:ascii="Arial" w:hAnsi="Arial" w:cs="Arial"/>
            <w:color w:val="auto"/>
            <w:sz w:val="18"/>
            <w:szCs w:val="18"/>
          </w:rPr>
          <w:t>-</w:t>
        </w:r>
      </w:hyperlink>
      <w:hyperlink r:id="rId307">
        <w:r w:rsidRPr="005411B3">
          <w:rPr>
            <w:rFonts w:ascii="Arial" w:hAnsi="Arial" w:cs="Arial"/>
            <w:color w:val="auto"/>
            <w:sz w:val="18"/>
            <w:szCs w:val="18"/>
          </w:rPr>
          <w:t>chatbots</w:t>
        </w:r>
      </w:hyperlink>
      <w:hyperlink r:id="rId308">
        <w:r w:rsidRPr="005411B3">
          <w:rPr>
            <w:rFonts w:ascii="Arial" w:hAnsi="Arial" w:cs="Arial"/>
            <w:color w:val="auto"/>
            <w:sz w:val="18"/>
            <w:szCs w:val="18"/>
          </w:rPr>
          <w:t>-</w:t>
        </w:r>
      </w:hyperlink>
      <w:hyperlink r:id="rId309">
        <w:r w:rsidRPr="005411B3">
          <w:rPr>
            <w:rFonts w:ascii="Arial" w:hAnsi="Arial" w:cs="Arial"/>
            <w:color w:val="auto"/>
            <w:sz w:val="18"/>
            <w:szCs w:val="18"/>
          </w:rPr>
          <w:t>wont</w:t>
        </w:r>
      </w:hyperlink>
      <w:hyperlink r:id="rId310">
        <w:r w:rsidRPr="005411B3">
          <w:rPr>
            <w:rFonts w:ascii="Arial" w:hAnsi="Arial" w:cs="Arial"/>
            <w:color w:val="auto"/>
            <w:sz w:val="18"/>
            <w:szCs w:val="18"/>
          </w:rPr>
          <w:t>-</w:t>
        </w:r>
      </w:hyperlink>
      <w:hyperlink r:id="rId311">
        <w:r w:rsidRPr="005411B3">
          <w:rPr>
            <w:rFonts w:ascii="Arial" w:hAnsi="Arial" w:cs="Arial"/>
            <w:color w:val="auto"/>
            <w:sz w:val="18"/>
            <w:szCs w:val="18"/>
          </w:rPr>
          <w:t>enjoy</w:t>
        </w:r>
      </w:hyperlink>
      <w:hyperlink r:id="rId312">
        <w:r w:rsidRPr="005411B3">
          <w:rPr>
            <w:rFonts w:ascii="Arial" w:hAnsi="Arial" w:cs="Arial"/>
            <w:color w:val="auto"/>
            <w:sz w:val="18"/>
            <w:szCs w:val="18"/>
          </w:rPr>
          <w:t>-</w:t>
        </w:r>
      </w:hyperlink>
      <w:hyperlink r:id="rId313">
        <w:r w:rsidRPr="005411B3">
          <w:rPr>
            <w:rFonts w:ascii="Arial" w:hAnsi="Arial" w:cs="Arial"/>
            <w:color w:val="auto"/>
            <w:sz w:val="18"/>
            <w:szCs w:val="18"/>
          </w:rPr>
          <w:t>techs</w:t>
        </w:r>
      </w:hyperlink>
      <w:hyperlink r:id="rId314">
        <w:r w:rsidRPr="005411B3">
          <w:rPr>
            <w:rFonts w:ascii="Arial" w:hAnsi="Arial" w:cs="Arial"/>
            <w:color w:val="auto"/>
            <w:sz w:val="18"/>
            <w:szCs w:val="18"/>
          </w:rPr>
          <w:t>-</w:t>
        </w:r>
      </w:hyperlink>
      <w:hyperlink r:id="rId315">
        <w:r w:rsidRPr="005411B3">
          <w:rPr>
            <w:rFonts w:ascii="Arial" w:hAnsi="Arial" w:cs="Arial"/>
            <w:color w:val="auto"/>
            <w:sz w:val="18"/>
            <w:szCs w:val="18"/>
          </w:rPr>
          <w:t>legal</w:t>
        </w:r>
      </w:hyperlink>
      <w:hyperlink r:id="rId316">
        <w:r w:rsidRPr="005411B3">
          <w:rPr>
            <w:rFonts w:ascii="Arial" w:hAnsi="Arial" w:cs="Arial"/>
            <w:color w:val="auto"/>
            <w:sz w:val="18"/>
            <w:szCs w:val="18"/>
          </w:rPr>
          <w:t>-</w:t>
        </w:r>
      </w:hyperlink>
      <w:hyperlink r:id="rId317">
        <w:r w:rsidRPr="005411B3">
          <w:rPr>
            <w:rFonts w:ascii="Arial" w:hAnsi="Arial" w:cs="Arial"/>
            <w:color w:val="auto"/>
            <w:sz w:val="18"/>
            <w:szCs w:val="18"/>
          </w:rPr>
          <w:t>shield</w:t>
        </w:r>
      </w:hyperlink>
      <w:hyperlink r:id="rId318">
        <w:r w:rsidRPr="005411B3">
          <w:rPr>
            <w:rFonts w:ascii="Arial" w:hAnsi="Arial" w:cs="Arial"/>
            <w:color w:val="auto"/>
            <w:sz w:val="18"/>
            <w:szCs w:val="18"/>
          </w:rPr>
          <w:t>-</w:t>
        </w:r>
      </w:hyperlink>
      <w:hyperlink r:id="rId319">
        <w:r w:rsidRPr="005411B3">
          <w:rPr>
            <w:rFonts w:ascii="Arial" w:hAnsi="Arial" w:cs="Arial"/>
            <w:color w:val="auto"/>
            <w:sz w:val="18"/>
            <w:szCs w:val="18"/>
          </w:rPr>
          <w:t>section</w:t>
        </w:r>
      </w:hyperlink>
      <w:hyperlink r:id="rId320">
        <w:r w:rsidRPr="005411B3">
          <w:rPr>
            <w:rFonts w:ascii="Arial" w:hAnsi="Arial" w:cs="Arial"/>
            <w:color w:val="auto"/>
            <w:sz w:val="18"/>
            <w:szCs w:val="18"/>
          </w:rPr>
          <w:t>-</w:t>
        </w:r>
      </w:hyperlink>
      <w:hyperlink r:id="rId321">
        <w:r w:rsidRPr="005411B3">
          <w:rPr>
            <w:rFonts w:ascii="Arial" w:hAnsi="Arial" w:cs="Arial"/>
            <w:color w:val="auto"/>
            <w:sz w:val="18"/>
            <w:szCs w:val="18"/>
          </w:rPr>
          <w:t>230</w:t>
        </w:r>
      </w:hyperlink>
      <w:hyperlink r:id="rId322">
        <w:r w:rsidRPr="005411B3">
          <w:rPr>
            <w:rFonts w:ascii="Arial" w:hAnsi="Arial" w:cs="Arial"/>
            <w:color w:val="auto"/>
            <w:sz w:val="18"/>
            <w:szCs w:val="18"/>
          </w:rPr>
          <w:t>-</w:t>
        </w:r>
      </w:hyperlink>
      <w:hyperlink r:id="rId323">
        <w:r w:rsidRPr="005411B3">
          <w:rPr>
            <w:rFonts w:ascii="Arial" w:hAnsi="Arial" w:cs="Arial"/>
            <w:color w:val="auto"/>
            <w:sz w:val="18"/>
            <w:szCs w:val="18"/>
          </w:rPr>
          <w:t>authors</w:t>
        </w:r>
      </w:hyperlink>
      <w:hyperlink r:id="rId324">
        <w:r w:rsidRPr="005411B3">
          <w:rPr>
            <w:rFonts w:ascii="Arial" w:hAnsi="Arial" w:cs="Arial"/>
            <w:color w:val="auto"/>
            <w:sz w:val="18"/>
            <w:szCs w:val="18"/>
          </w:rPr>
          <w:t>-</w:t>
        </w:r>
      </w:hyperlink>
      <w:hyperlink r:id="rId325">
        <w:r w:rsidRPr="005411B3">
          <w:rPr>
            <w:rFonts w:ascii="Arial" w:hAnsi="Arial" w:cs="Arial"/>
            <w:color w:val="auto"/>
            <w:sz w:val="18"/>
            <w:szCs w:val="18"/>
          </w:rPr>
          <w:t>say/</w:t>
        </w:r>
      </w:hyperlink>
      <w:hyperlink r:id="rId326">
        <w:r w:rsidRPr="005411B3">
          <w:rPr>
            <w:rFonts w:ascii="Arial" w:hAnsi="Arial" w:cs="Arial"/>
            <w:color w:val="auto"/>
            <w:sz w:val="18"/>
            <w:szCs w:val="18"/>
            <w:u w:color="000000"/>
          </w:rPr>
          <w:t xml:space="preserve">  </w:t>
        </w:r>
      </w:hyperlink>
    </w:p>
  </w:footnote>
  <w:footnote w:id="52">
    <w:p w14:paraId="6B036216" w14:textId="77777777" w:rsidR="00E617E2" w:rsidRPr="005411B3" w:rsidRDefault="00E617E2" w:rsidP="00E617E2">
      <w:pPr>
        <w:pStyle w:val="footnotedescription"/>
        <w:spacing w:line="238" w:lineRule="auto"/>
        <w:ind w:left="187" w:right="14" w:hanging="187"/>
        <w:rPr>
          <w:rFonts w:ascii="Arial" w:hAnsi="Arial" w:cs="Arial"/>
          <w:color w:val="auto"/>
          <w:sz w:val="18"/>
          <w:szCs w:val="18"/>
        </w:rPr>
      </w:pPr>
      <w:r w:rsidRPr="005411B3">
        <w:rPr>
          <w:rStyle w:val="footnotemark"/>
          <w:rFonts w:ascii="Arial" w:hAnsi="Arial" w:cs="Arial"/>
          <w:color w:val="auto"/>
          <w:sz w:val="18"/>
          <w:szCs w:val="18"/>
        </w:rPr>
        <w:footnoteRef/>
      </w:r>
      <w:r w:rsidRPr="005411B3">
        <w:rPr>
          <w:rFonts w:ascii="Arial" w:hAnsi="Arial" w:cs="Arial"/>
          <w:color w:val="auto"/>
          <w:sz w:val="18"/>
          <w:szCs w:val="18"/>
        </w:rPr>
        <w:t xml:space="preserve"> </w:t>
      </w:r>
      <w:hyperlink r:id="rId327">
        <w:r w:rsidRPr="005411B3">
          <w:rPr>
            <w:rFonts w:ascii="Arial" w:hAnsi="Arial" w:cs="Arial"/>
            <w:color w:val="auto"/>
            <w:sz w:val="18"/>
            <w:szCs w:val="18"/>
          </w:rPr>
          <w:t>https://www.wsj.com/articles/chatgpt</w:t>
        </w:r>
      </w:hyperlink>
      <w:hyperlink r:id="rId328">
        <w:r w:rsidRPr="005411B3">
          <w:rPr>
            <w:rFonts w:ascii="Arial" w:hAnsi="Arial" w:cs="Arial"/>
            <w:color w:val="auto"/>
            <w:sz w:val="18"/>
            <w:szCs w:val="18"/>
          </w:rPr>
          <w:t>-</w:t>
        </w:r>
      </w:hyperlink>
      <w:hyperlink r:id="rId329">
        <w:r w:rsidRPr="005411B3">
          <w:rPr>
            <w:rFonts w:ascii="Arial" w:hAnsi="Arial" w:cs="Arial"/>
            <w:color w:val="auto"/>
            <w:sz w:val="18"/>
            <w:szCs w:val="18"/>
          </w:rPr>
          <w:t>libeled</w:t>
        </w:r>
      </w:hyperlink>
      <w:hyperlink r:id="rId330">
        <w:r w:rsidRPr="005411B3">
          <w:rPr>
            <w:rFonts w:ascii="Arial" w:hAnsi="Arial" w:cs="Arial"/>
            <w:color w:val="auto"/>
            <w:sz w:val="18"/>
            <w:szCs w:val="18"/>
          </w:rPr>
          <w:t>-</w:t>
        </w:r>
      </w:hyperlink>
      <w:hyperlink r:id="rId331">
        <w:r w:rsidRPr="005411B3">
          <w:rPr>
            <w:rFonts w:ascii="Arial" w:hAnsi="Arial" w:cs="Arial"/>
            <w:color w:val="auto"/>
            <w:sz w:val="18"/>
            <w:szCs w:val="18"/>
          </w:rPr>
          <w:t>me</w:t>
        </w:r>
      </w:hyperlink>
      <w:hyperlink r:id="rId332">
        <w:r w:rsidRPr="005411B3">
          <w:rPr>
            <w:rFonts w:ascii="Arial" w:hAnsi="Arial" w:cs="Arial"/>
            <w:color w:val="auto"/>
            <w:sz w:val="18"/>
            <w:szCs w:val="18"/>
          </w:rPr>
          <w:t>-</w:t>
        </w:r>
      </w:hyperlink>
      <w:hyperlink r:id="rId333">
        <w:r w:rsidRPr="005411B3">
          <w:rPr>
            <w:rFonts w:ascii="Arial" w:hAnsi="Arial" w:cs="Arial"/>
            <w:color w:val="auto"/>
            <w:sz w:val="18"/>
            <w:szCs w:val="18"/>
          </w:rPr>
          <w:t>can</w:t>
        </w:r>
      </w:hyperlink>
      <w:hyperlink r:id="rId334">
        <w:r w:rsidRPr="005411B3">
          <w:rPr>
            <w:rFonts w:ascii="Arial" w:hAnsi="Arial" w:cs="Arial"/>
            <w:color w:val="auto"/>
            <w:sz w:val="18"/>
            <w:szCs w:val="18"/>
          </w:rPr>
          <w:t>-</w:t>
        </w:r>
      </w:hyperlink>
      <w:hyperlink r:id="rId335">
        <w:r w:rsidRPr="005411B3">
          <w:rPr>
            <w:rFonts w:ascii="Arial" w:hAnsi="Arial" w:cs="Arial"/>
            <w:color w:val="auto"/>
            <w:sz w:val="18"/>
            <w:szCs w:val="18"/>
          </w:rPr>
          <w:t>i</w:t>
        </w:r>
      </w:hyperlink>
      <w:hyperlink r:id="rId336">
        <w:r w:rsidRPr="005411B3">
          <w:rPr>
            <w:rFonts w:ascii="Arial" w:hAnsi="Arial" w:cs="Arial"/>
            <w:color w:val="auto"/>
            <w:sz w:val="18"/>
            <w:szCs w:val="18"/>
          </w:rPr>
          <w:t>-</w:t>
        </w:r>
      </w:hyperlink>
      <w:hyperlink r:id="rId337">
        <w:r w:rsidRPr="005411B3">
          <w:rPr>
            <w:rFonts w:ascii="Arial" w:hAnsi="Arial" w:cs="Arial"/>
            <w:color w:val="auto"/>
            <w:sz w:val="18"/>
            <w:szCs w:val="18"/>
          </w:rPr>
          <w:t>sue</w:t>
        </w:r>
      </w:hyperlink>
      <w:hyperlink r:id="rId338">
        <w:r w:rsidRPr="005411B3">
          <w:rPr>
            <w:rFonts w:ascii="Arial" w:hAnsi="Arial" w:cs="Arial"/>
            <w:color w:val="auto"/>
            <w:sz w:val="18"/>
            <w:szCs w:val="18"/>
          </w:rPr>
          <w:t>-</w:t>
        </w:r>
      </w:hyperlink>
      <w:hyperlink r:id="rId339">
        <w:r w:rsidRPr="005411B3">
          <w:rPr>
            <w:rFonts w:ascii="Arial" w:hAnsi="Arial" w:cs="Arial"/>
            <w:color w:val="auto"/>
            <w:sz w:val="18"/>
            <w:szCs w:val="18"/>
          </w:rPr>
          <w:t>defamation</w:t>
        </w:r>
      </w:hyperlink>
      <w:hyperlink r:id="rId340">
        <w:r w:rsidRPr="005411B3">
          <w:rPr>
            <w:rFonts w:ascii="Arial" w:hAnsi="Arial" w:cs="Arial"/>
            <w:color w:val="auto"/>
            <w:sz w:val="18"/>
            <w:szCs w:val="18"/>
          </w:rPr>
          <w:t>-</w:t>
        </w:r>
      </w:hyperlink>
      <w:hyperlink r:id="rId341">
        <w:r w:rsidRPr="005411B3">
          <w:rPr>
            <w:rFonts w:ascii="Arial" w:hAnsi="Arial" w:cs="Arial"/>
            <w:color w:val="auto"/>
            <w:sz w:val="18"/>
            <w:szCs w:val="18"/>
          </w:rPr>
          <w:t>law</w:t>
        </w:r>
      </w:hyperlink>
      <w:hyperlink r:id="rId342">
        <w:r w:rsidRPr="005411B3">
          <w:rPr>
            <w:rFonts w:ascii="Arial" w:hAnsi="Arial" w:cs="Arial"/>
            <w:color w:val="auto"/>
            <w:sz w:val="18"/>
            <w:szCs w:val="18"/>
          </w:rPr>
          <w:t>-</w:t>
        </w:r>
      </w:hyperlink>
      <w:hyperlink r:id="rId343">
        <w:r w:rsidRPr="005411B3">
          <w:rPr>
            <w:rFonts w:ascii="Arial" w:hAnsi="Arial" w:cs="Arial"/>
            <w:color w:val="auto"/>
            <w:sz w:val="18"/>
            <w:szCs w:val="18"/>
          </w:rPr>
          <w:t>artificial</w:t>
        </w:r>
      </w:hyperlink>
      <w:hyperlink r:id="rId344">
        <w:r w:rsidRPr="005411B3">
          <w:rPr>
            <w:rFonts w:ascii="Arial" w:hAnsi="Arial" w:cs="Arial"/>
            <w:color w:val="auto"/>
            <w:sz w:val="18"/>
            <w:szCs w:val="18"/>
          </w:rPr>
          <w:t>-</w:t>
        </w:r>
      </w:hyperlink>
      <w:hyperlink r:id="rId345">
        <w:r w:rsidRPr="005411B3">
          <w:rPr>
            <w:rFonts w:ascii="Arial" w:hAnsi="Arial" w:cs="Arial"/>
            <w:color w:val="auto"/>
            <w:sz w:val="18"/>
            <w:szCs w:val="18"/>
          </w:rPr>
          <w:t>intelligence</w:t>
        </w:r>
      </w:hyperlink>
      <w:hyperlink r:id="rId346">
        <w:r w:rsidRPr="005411B3">
          <w:rPr>
            <w:rFonts w:ascii="Arial" w:hAnsi="Arial" w:cs="Arial"/>
            <w:color w:val="auto"/>
            <w:sz w:val="18"/>
            <w:szCs w:val="18"/>
          </w:rPr>
          <w:t>-</w:t>
        </w:r>
      </w:hyperlink>
      <w:hyperlink r:id="rId347">
        <w:r w:rsidRPr="005411B3">
          <w:rPr>
            <w:rFonts w:ascii="Arial" w:hAnsi="Arial" w:cs="Arial"/>
            <w:color w:val="auto"/>
            <w:sz w:val="18"/>
            <w:szCs w:val="18"/>
          </w:rPr>
          <w:t>cartoonist</w:t>
        </w:r>
      </w:hyperlink>
      <w:hyperlink r:id="rId348">
        <w:r w:rsidRPr="005411B3">
          <w:rPr>
            <w:rFonts w:ascii="Arial" w:hAnsi="Arial" w:cs="Arial"/>
            <w:color w:val="auto"/>
            <w:sz w:val="18"/>
            <w:szCs w:val="18"/>
          </w:rPr>
          <w:t>-</w:t>
        </w:r>
      </w:hyperlink>
      <w:hyperlink r:id="rId349">
        <w:r w:rsidRPr="005411B3">
          <w:rPr>
            <w:rFonts w:ascii="Arial" w:hAnsi="Arial" w:cs="Arial"/>
            <w:color w:val="auto"/>
            <w:sz w:val="18"/>
            <w:szCs w:val="18"/>
          </w:rPr>
          <w:t>court</w:t>
        </w:r>
      </w:hyperlink>
      <w:hyperlink r:id="rId350">
        <w:r w:rsidRPr="005411B3">
          <w:rPr>
            <w:rFonts w:ascii="Arial" w:hAnsi="Arial" w:cs="Arial"/>
            <w:color w:val="auto"/>
            <w:sz w:val="18"/>
            <w:szCs w:val="18"/>
          </w:rPr>
          <w:t>-</w:t>
        </w:r>
      </w:hyperlink>
      <w:hyperlink r:id="rId351">
        <w:r w:rsidRPr="005411B3">
          <w:rPr>
            <w:rFonts w:ascii="Arial" w:hAnsi="Arial" w:cs="Arial"/>
            <w:color w:val="auto"/>
            <w:sz w:val="18"/>
            <w:szCs w:val="18"/>
          </w:rPr>
          <w:t>lawyers</w:t>
        </w:r>
      </w:hyperlink>
      <w:hyperlink r:id="rId352">
        <w:r w:rsidRPr="005411B3">
          <w:rPr>
            <w:rFonts w:ascii="Arial" w:hAnsi="Arial" w:cs="Arial"/>
            <w:color w:val="auto"/>
            <w:sz w:val="18"/>
            <w:szCs w:val="18"/>
          </w:rPr>
          <w:t>-</w:t>
        </w:r>
      </w:hyperlink>
      <w:hyperlink r:id="rId353">
        <w:r w:rsidRPr="005411B3">
          <w:rPr>
            <w:rFonts w:ascii="Arial" w:hAnsi="Arial" w:cs="Arial"/>
            <w:color w:val="auto"/>
            <w:sz w:val="18"/>
            <w:szCs w:val="18"/>
          </w:rPr>
          <w:t>technology</w:t>
        </w:r>
      </w:hyperlink>
      <w:hyperlink r:id="rId354">
        <w:r w:rsidRPr="005411B3">
          <w:rPr>
            <w:rFonts w:ascii="Arial" w:hAnsi="Arial" w:cs="Arial"/>
            <w:color w:val="auto"/>
            <w:sz w:val="18"/>
            <w:szCs w:val="18"/>
          </w:rPr>
          <w:t>-</w:t>
        </w:r>
      </w:hyperlink>
      <w:hyperlink r:id="rId355">
        <w:r w:rsidRPr="005411B3">
          <w:rPr>
            <w:rFonts w:ascii="Arial" w:hAnsi="Arial" w:cs="Arial"/>
            <w:color w:val="auto"/>
            <w:sz w:val="18"/>
            <w:szCs w:val="18"/>
          </w:rPr>
          <w:t>14086034</w:t>
        </w:r>
      </w:hyperlink>
      <w:hyperlink r:id="rId356">
        <w:r w:rsidRPr="005411B3">
          <w:rPr>
            <w:rFonts w:ascii="Arial" w:hAnsi="Arial" w:cs="Arial"/>
            <w:color w:val="auto"/>
            <w:sz w:val="18"/>
            <w:szCs w:val="18"/>
            <w:u w:color="000000"/>
          </w:rPr>
          <w:t xml:space="preserve">  </w:t>
        </w:r>
      </w:hyperlink>
    </w:p>
  </w:footnote>
  <w:footnote w:id="53">
    <w:p w14:paraId="7BD6E0B9" w14:textId="77777777" w:rsidR="00E617E2" w:rsidRPr="005411B3" w:rsidRDefault="00E617E2" w:rsidP="00E617E2">
      <w:pPr>
        <w:pStyle w:val="footnotedescription"/>
        <w:spacing w:line="238" w:lineRule="auto"/>
        <w:ind w:left="187" w:right="14" w:hanging="187"/>
        <w:rPr>
          <w:rFonts w:ascii="Arial" w:hAnsi="Arial" w:cs="Arial"/>
          <w:color w:val="auto"/>
          <w:sz w:val="18"/>
          <w:szCs w:val="18"/>
        </w:rPr>
      </w:pPr>
      <w:r w:rsidRPr="005411B3">
        <w:rPr>
          <w:rStyle w:val="footnotemark"/>
          <w:rFonts w:ascii="Arial" w:hAnsi="Arial" w:cs="Arial"/>
          <w:color w:val="auto"/>
          <w:sz w:val="18"/>
          <w:szCs w:val="18"/>
        </w:rPr>
        <w:footnoteRef/>
      </w:r>
      <w:r w:rsidRPr="005411B3">
        <w:rPr>
          <w:rFonts w:ascii="Arial" w:hAnsi="Arial" w:cs="Arial"/>
          <w:color w:val="auto"/>
          <w:sz w:val="18"/>
          <w:szCs w:val="18"/>
        </w:rPr>
        <w:t xml:space="preserve"> </w:t>
      </w:r>
      <w:hyperlink r:id="rId357">
        <w:r w:rsidRPr="005411B3">
          <w:rPr>
            <w:rFonts w:ascii="Arial" w:hAnsi="Arial" w:cs="Arial"/>
            <w:color w:val="auto"/>
            <w:sz w:val="18"/>
            <w:szCs w:val="18"/>
          </w:rPr>
          <w:t>https://www.technologyreview.com/2023/04/25/1072177/a</w:t>
        </w:r>
      </w:hyperlink>
      <w:hyperlink r:id="rId358">
        <w:r w:rsidRPr="005411B3">
          <w:rPr>
            <w:rFonts w:ascii="Arial" w:hAnsi="Arial" w:cs="Arial"/>
            <w:color w:val="auto"/>
            <w:sz w:val="18"/>
            <w:szCs w:val="18"/>
          </w:rPr>
          <w:t>-</w:t>
        </w:r>
      </w:hyperlink>
      <w:hyperlink r:id="rId359">
        <w:r w:rsidRPr="005411B3">
          <w:rPr>
            <w:rFonts w:ascii="Arial" w:hAnsi="Arial" w:cs="Arial"/>
            <w:color w:val="auto"/>
            <w:sz w:val="18"/>
            <w:szCs w:val="18"/>
          </w:rPr>
          <w:t>cambridge</w:t>
        </w:r>
      </w:hyperlink>
      <w:hyperlink r:id="rId360">
        <w:r w:rsidRPr="005411B3">
          <w:rPr>
            <w:rFonts w:ascii="Arial" w:hAnsi="Arial" w:cs="Arial"/>
            <w:color w:val="auto"/>
            <w:sz w:val="18"/>
            <w:szCs w:val="18"/>
          </w:rPr>
          <w:t>-</w:t>
        </w:r>
      </w:hyperlink>
      <w:hyperlink r:id="rId361">
        <w:r w:rsidRPr="005411B3">
          <w:rPr>
            <w:rFonts w:ascii="Arial" w:hAnsi="Arial" w:cs="Arial"/>
            <w:color w:val="auto"/>
            <w:sz w:val="18"/>
            <w:szCs w:val="18"/>
          </w:rPr>
          <w:t>analytica</w:t>
        </w:r>
      </w:hyperlink>
      <w:hyperlink r:id="rId362">
        <w:r w:rsidRPr="005411B3">
          <w:rPr>
            <w:rFonts w:ascii="Arial" w:hAnsi="Arial" w:cs="Arial"/>
            <w:color w:val="auto"/>
            <w:sz w:val="18"/>
            <w:szCs w:val="18"/>
          </w:rPr>
          <w:t>-</w:t>
        </w:r>
      </w:hyperlink>
      <w:hyperlink r:id="rId363">
        <w:r w:rsidRPr="005411B3">
          <w:rPr>
            <w:rFonts w:ascii="Arial" w:hAnsi="Arial" w:cs="Arial"/>
            <w:color w:val="auto"/>
            <w:sz w:val="18"/>
            <w:szCs w:val="18"/>
          </w:rPr>
          <w:t>style</w:t>
        </w:r>
      </w:hyperlink>
      <w:hyperlink r:id="rId364">
        <w:r w:rsidRPr="005411B3">
          <w:rPr>
            <w:rFonts w:ascii="Arial" w:hAnsi="Arial" w:cs="Arial"/>
            <w:color w:val="auto"/>
            <w:sz w:val="18"/>
            <w:szCs w:val="18"/>
          </w:rPr>
          <w:t>-</w:t>
        </w:r>
      </w:hyperlink>
      <w:hyperlink r:id="rId365">
        <w:r w:rsidRPr="005411B3">
          <w:rPr>
            <w:rFonts w:ascii="Arial" w:hAnsi="Arial" w:cs="Arial"/>
            <w:color w:val="auto"/>
            <w:sz w:val="18"/>
            <w:szCs w:val="18"/>
          </w:rPr>
          <w:t>scandal</w:t>
        </w:r>
      </w:hyperlink>
      <w:hyperlink r:id="rId366">
        <w:r w:rsidRPr="005411B3">
          <w:rPr>
            <w:rFonts w:ascii="Arial" w:hAnsi="Arial" w:cs="Arial"/>
            <w:color w:val="auto"/>
            <w:sz w:val="18"/>
            <w:szCs w:val="18"/>
          </w:rPr>
          <w:t>-</w:t>
        </w:r>
      </w:hyperlink>
      <w:hyperlink r:id="rId367">
        <w:r w:rsidRPr="005411B3">
          <w:rPr>
            <w:rFonts w:ascii="Arial" w:hAnsi="Arial" w:cs="Arial"/>
            <w:color w:val="auto"/>
            <w:sz w:val="18"/>
            <w:szCs w:val="18"/>
          </w:rPr>
          <w:t>for</w:t>
        </w:r>
      </w:hyperlink>
      <w:hyperlink r:id="rId368">
        <w:r w:rsidRPr="005411B3">
          <w:rPr>
            <w:rFonts w:ascii="Arial" w:hAnsi="Arial" w:cs="Arial"/>
            <w:color w:val="auto"/>
            <w:sz w:val="18"/>
            <w:szCs w:val="18"/>
          </w:rPr>
          <w:t>-</w:t>
        </w:r>
      </w:hyperlink>
      <w:hyperlink r:id="rId369">
        <w:r w:rsidRPr="005411B3">
          <w:rPr>
            <w:rFonts w:ascii="Arial" w:hAnsi="Arial" w:cs="Arial"/>
            <w:color w:val="auto"/>
            <w:sz w:val="18"/>
            <w:szCs w:val="18"/>
          </w:rPr>
          <w:t>ai</w:t>
        </w:r>
      </w:hyperlink>
      <w:hyperlink r:id="rId370">
        <w:r w:rsidRPr="005411B3">
          <w:rPr>
            <w:rFonts w:ascii="Arial" w:hAnsi="Arial" w:cs="Arial"/>
            <w:color w:val="auto"/>
            <w:sz w:val="18"/>
            <w:szCs w:val="18"/>
          </w:rPr>
          <w:t>-</w:t>
        </w:r>
      </w:hyperlink>
      <w:hyperlink r:id="rId371">
        <w:r w:rsidRPr="005411B3">
          <w:rPr>
            <w:rFonts w:ascii="Arial" w:hAnsi="Arial" w:cs="Arial"/>
            <w:color w:val="auto"/>
            <w:sz w:val="18"/>
            <w:szCs w:val="18"/>
          </w:rPr>
          <w:t>is</w:t>
        </w:r>
      </w:hyperlink>
      <w:hyperlink r:id="rId372">
        <w:r w:rsidRPr="005411B3">
          <w:rPr>
            <w:rFonts w:ascii="Arial" w:hAnsi="Arial" w:cs="Arial"/>
            <w:color w:val="auto"/>
            <w:sz w:val="18"/>
            <w:szCs w:val="18"/>
          </w:rPr>
          <w:t>-</w:t>
        </w:r>
      </w:hyperlink>
      <w:r w:rsidRPr="005411B3">
        <w:rPr>
          <w:rFonts w:ascii="Arial" w:hAnsi="Arial" w:cs="Arial"/>
          <w:color w:val="auto"/>
          <w:sz w:val="18"/>
          <w:szCs w:val="18"/>
        </w:rPr>
        <w:t xml:space="preserve"> </w:t>
      </w:r>
      <w:hyperlink r:id="rId373">
        <w:r w:rsidRPr="005411B3">
          <w:rPr>
            <w:rFonts w:ascii="Arial" w:hAnsi="Arial" w:cs="Arial"/>
            <w:color w:val="auto"/>
            <w:sz w:val="18"/>
            <w:szCs w:val="18"/>
          </w:rPr>
          <w:t>coming/?truid=&amp;utm_source=the_download&amp;utm_medium=email&amp;utm_campaign=the_download.unpaid.engagement&amp;utm_term=&amp;utm_content=05</w:t>
        </w:r>
      </w:hyperlink>
      <w:hyperlink r:id="rId374">
        <w:r w:rsidRPr="005411B3">
          <w:rPr>
            <w:rFonts w:ascii="Arial" w:hAnsi="Arial" w:cs="Arial"/>
            <w:color w:val="auto"/>
            <w:sz w:val="18"/>
            <w:szCs w:val="18"/>
          </w:rPr>
          <w:t>-</w:t>
        </w:r>
      </w:hyperlink>
      <w:hyperlink r:id="rId375">
        <w:r w:rsidRPr="005411B3">
          <w:rPr>
            <w:rFonts w:ascii="Arial" w:hAnsi="Arial" w:cs="Arial"/>
            <w:color w:val="auto"/>
            <w:sz w:val="18"/>
            <w:szCs w:val="18"/>
          </w:rPr>
          <w:t>03</w:t>
        </w:r>
      </w:hyperlink>
      <w:r w:rsidRPr="005411B3">
        <w:rPr>
          <w:rFonts w:ascii="Arial" w:hAnsi="Arial" w:cs="Arial"/>
          <w:color w:val="auto"/>
          <w:sz w:val="18"/>
          <w:szCs w:val="18"/>
        </w:rPr>
        <w:t>-</w:t>
      </w:r>
      <w:hyperlink r:id="rId376">
        <w:r w:rsidRPr="005411B3">
          <w:rPr>
            <w:rFonts w:ascii="Arial" w:hAnsi="Arial" w:cs="Arial"/>
            <w:color w:val="auto"/>
            <w:sz w:val="18"/>
            <w:szCs w:val="18"/>
          </w:rPr>
          <w:t>2023</w:t>
        </w:r>
      </w:hyperlink>
      <w:hyperlink r:id="rId377">
        <w:r w:rsidRPr="005411B3">
          <w:rPr>
            <w:rFonts w:ascii="Arial" w:hAnsi="Arial" w:cs="Arial"/>
            <w:color w:val="auto"/>
            <w:sz w:val="18"/>
            <w:szCs w:val="18"/>
          </w:rPr>
          <w:t>&amp;mc_cid=1fb19f5898&amp;mc_eid=5c3e4c2150</w:t>
        </w:r>
      </w:hyperlink>
      <w:hyperlink r:id="rId378">
        <w:r w:rsidRPr="005411B3">
          <w:rPr>
            <w:rFonts w:ascii="Arial" w:hAnsi="Arial" w:cs="Arial"/>
            <w:color w:val="auto"/>
            <w:sz w:val="18"/>
            <w:szCs w:val="18"/>
            <w:u w:color="000000"/>
          </w:rPr>
          <w:t xml:space="preserve">  </w:t>
        </w:r>
      </w:hyperlink>
    </w:p>
  </w:footnote>
  <w:footnote w:id="54">
    <w:p w14:paraId="7D78076C" w14:textId="77777777" w:rsidR="00E617E2" w:rsidRDefault="00E617E2" w:rsidP="00E617E2">
      <w:pPr>
        <w:pStyle w:val="footnotedescription"/>
        <w:ind w:left="144" w:hanging="144"/>
      </w:pPr>
      <w:r w:rsidRPr="005411B3">
        <w:rPr>
          <w:rStyle w:val="footnotemark"/>
          <w:rFonts w:ascii="Arial" w:hAnsi="Arial" w:cs="Arial"/>
          <w:color w:val="auto"/>
          <w:sz w:val="18"/>
          <w:szCs w:val="18"/>
        </w:rPr>
        <w:footnoteRef/>
      </w:r>
      <w:r w:rsidRPr="005411B3">
        <w:rPr>
          <w:rFonts w:ascii="Arial" w:hAnsi="Arial" w:cs="Arial"/>
          <w:color w:val="auto"/>
          <w:sz w:val="18"/>
          <w:szCs w:val="18"/>
        </w:rPr>
        <w:t xml:space="preserve"> </w:t>
      </w:r>
      <w:hyperlink r:id="rId379">
        <w:r w:rsidRPr="005411B3">
          <w:rPr>
            <w:rFonts w:ascii="Arial" w:hAnsi="Arial" w:cs="Arial"/>
            <w:color w:val="auto"/>
            <w:sz w:val="18"/>
            <w:szCs w:val="18"/>
          </w:rPr>
          <w:t>https://www.theverge.com/2023/3/13/23638823/microsoft</w:t>
        </w:r>
      </w:hyperlink>
      <w:hyperlink r:id="rId380">
        <w:r w:rsidRPr="005411B3">
          <w:rPr>
            <w:rFonts w:ascii="Arial" w:hAnsi="Arial" w:cs="Arial"/>
            <w:color w:val="auto"/>
            <w:sz w:val="18"/>
            <w:szCs w:val="18"/>
          </w:rPr>
          <w:t>-</w:t>
        </w:r>
      </w:hyperlink>
      <w:hyperlink r:id="rId381">
        <w:r w:rsidRPr="005411B3">
          <w:rPr>
            <w:rFonts w:ascii="Arial" w:hAnsi="Arial" w:cs="Arial"/>
            <w:color w:val="auto"/>
            <w:sz w:val="18"/>
            <w:szCs w:val="18"/>
          </w:rPr>
          <w:t>ethics</w:t>
        </w:r>
      </w:hyperlink>
      <w:hyperlink r:id="rId382">
        <w:r w:rsidRPr="005411B3">
          <w:rPr>
            <w:rFonts w:ascii="Arial" w:hAnsi="Arial" w:cs="Arial"/>
            <w:color w:val="auto"/>
            <w:sz w:val="18"/>
            <w:szCs w:val="18"/>
          </w:rPr>
          <w:t>-</w:t>
        </w:r>
      </w:hyperlink>
      <w:hyperlink r:id="rId383">
        <w:r w:rsidRPr="005411B3">
          <w:rPr>
            <w:rFonts w:ascii="Arial" w:hAnsi="Arial" w:cs="Arial"/>
            <w:color w:val="auto"/>
            <w:sz w:val="18"/>
            <w:szCs w:val="18"/>
          </w:rPr>
          <w:t>society</w:t>
        </w:r>
      </w:hyperlink>
      <w:hyperlink r:id="rId384">
        <w:r w:rsidRPr="005411B3">
          <w:rPr>
            <w:rFonts w:ascii="Arial" w:hAnsi="Arial" w:cs="Arial"/>
            <w:color w:val="auto"/>
            <w:sz w:val="18"/>
            <w:szCs w:val="18"/>
          </w:rPr>
          <w:t>-</w:t>
        </w:r>
      </w:hyperlink>
      <w:hyperlink r:id="rId385">
        <w:r w:rsidRPr="005411B3">
          <w:rPr>
            <w:rFonts w:ascii="Arial" w:hAnsi="Arial" w:cs="Arial"/>
            <w:color w:val="auto"/>
            <w:sz w:val="18"/>
            <w:szCs w:val="18"/>
          </w:rPr>
          <w:t>team</w:t>
        </w:r>
      </w:hyperlink>
      <w:hyperlink r:id="rId386">
        <w:r w:rsidRPr="005411B3">
          <w:rPr>
            <w:rFonts w:ascii="Arial" w:hAnsi="Arial" w:cs="Arial"/>
            <w:color w:val="auto"/>
            <w:sz w:val="18"/>
            <w:szCs w:val="18"/>
          </w:rPr>
          <w:t>-</w:t>
        </w:r>
      </w:hyperlink>
      <w:hyperlink r:id="rId387">
        <w:r w:rsidRPr="005411B3">
          <w:rPr>
            <w:rFonts w:ascii="Arial" w:hAnsi="Arial" w:cs="Arial"/>
            <w:color w:val="auto"/>
            <w:sz w:val="18"/>
            <w:szCs w:val="18"/>
          </w:rPr>
          <w:t>responsible</w:t>
        </w:r>
      </w:hyperlink>
      <w:hyperlink r:id="rId388">
        <w:r w:rsidRPr="005411B3">
          <w:rPr>
            <w:rFonts w:ascii="Arial" w:hAnsi="Arial" w:cs="Arial"/>
            <w:color w:val="auto"/>
            <w:sz w:val="18"/>
            <w:szCs w:val="18"/>
          </w:rPr>
          <w:t>-</w:t>
        </w:r>
      </w:hyperlink>
      <w:hyperlink r:id="rId389">
        <w:r w:rsidRPr="005411B3">
          <w:rPr>
            <w:rFonts w:ascii="Arial" w:hAnsi="Arial" w:cs="Arial"/>
            <w:color w:val="auto"/>
            <w:sz w:val="18"/>
            <w:szCs w:val="18"/>
          </w:rPr>
          <w:t>ai</w:t>
        </w:r>
      </w:hyperlink>
      <w:hyperlink r:id="rId390">
        <w:r w:rsidRPr="005411B3">
          <w:rPr>
            <w:rFonts w:ascii="Arial" w:hAnsi="Arial" w:cs="Arial"/>
            <w:color w:val="auto"/>
            <w:sz w:val="18"/>
            <w:szCs w:val="18"/>
          </w:rPr>
          <w:t>-</w:t>
        </w:r>
      </w:hyperlink>
      <w:hyperlink r:id="rId391">
        <w:r w:rsidRPr="005411B3">
          <w:rPr>
            <w:rFonts w:ascii="Arial" w:hAnsi="Arial" w:cs="Arial"/>
            <w:color w:val="auto"/>
            <w:sz w:val="18"/>
            <w:szCs w:val="18"/>
          </w:rPr>
          <w:t>layoffs</w:t>
        </w:r>
      </w:hyperlink>
      <w:hyperlink r:id="rId392">
        <w:r w:rsidRPr="005411B3">
          <w:rPr>
            <w:rFonts w:ascii="Arial" w:hAnsi="Arial" w:cs="Arial"/>
            <w:color w:val="auto"/>
            <w:sz w:val="18"/>
            <w:szCs w:val="18"/>
            <w:u w:color="000000"/>
          </w:rPr>
          <w:t xml:space="preserve"> </w:t>
        </w:r>
      </w:hyperlink>
      <w:r w:rsidRPr="005411B3">
        <w:rPr>
          <w:rFonts w:ascii="Arial" w:hAnsi="Arial" w:cs="Arial"/>
          <w:color w:val="auto"/>
          <w:sz w:val="18"/>
          <w:szCs w:val="18"/>
          <w:u w:color="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0E980" w14:textId="77777777" w:rsidR="00DE2BC9" w:rsidRDefault="00DE2BC9">
    <w:pPr>
      <w:pStyle w:val="Header"/>
    </w:pPr>
  </w:p>
  <w:p w14:paraId="256A8203" w14:textId="77777777" w:rsidR="00630DDE" w:rsidRDefault="00630DD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CC74" w14:textId="77777777" w:rsidR="00DE2BC9" w:rsidRDefault="00DE2B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4B75"/>
    <w:multiLevelType w:val="multilevel"/>
    <w:tmpl w:val="3A2E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3F7832"/>
    <w:multiLevelType w:val="hybridMultilevel"/>
    <w:tmpl w:val="E3B05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AF371E"/>
    <w:multiLevelType w:val="hybridMultilevel"/>
    <w:tmpl w:val="5B96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6226B"/>
    <w:multiLevelType w:val="multilevel"/>
    <w:tmpl w:val="5CEC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C83887"/>
    <w:multiLevelType w:val="multilevel"/>
    <w:tmpl w:val="9E80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2F38AB"/>
    <w:multiLevelType w:val="multilevel"/>
    <w:tmpl w:val="59F207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C50607"/>
    <w:multiLevelType w:val="multilevel"/>
    <w:tmpl w:val="E33C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F45E73"/>
    <w:multiLevelType w:val="hybridMultilevel"/>
    <w:tmpl w:val="6B18E464"/>
    <w:lvl w:ilvl="0" w:tplc="9124B4BE">
      <w:start w:val="1"/>
      <w:numFmt w:val="decimal"/>
      <w:lvlText w:val="(%1)"/>
      <w:lvlJc w:val="left"/>
      <w:pPr>
        <w:ind w:left="111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4C9E9D4E">
      <w:start w:val="1"/>
      <w:numFmt w:val="lowerLetter"/>
      <w:lvlText w:val="%2"/>
      <w:lvlJc w:val="left"/>
      <w:pPr>
        <w:ind w:left="128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600AC82E">
      <w:start w:val="1"/>
      <w:numFmt w:val="lowerRoman"/>
      <w:lvlText w:val="%3"/>
      <w:lvlJc w:val="left"/>
      <w:pPr>
        <w:ind w:left="200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3C36706A">
      <w:start w:val="1"/>
      <w:numFmt w:val="decimal"/>
      <w:lvlText w:val="%4"/>
      <w:lvlJc w:val="left"/>
      <w:pPr>
        <w:ind w:left="272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18E2DA8C">
      <w:start w:val="1"/>
      <w:numFmt w:val="lowerLetter"/>
      <w:lvlText w:val="%5"/>
      <w:lvlJc w:val="left"/>
      <w:pPr>
        <w:ind w:left="344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B4861664">
      <w:start w:val="1"/>
      <w:numFmt w:val="lowerRoman"/>
      <w:lvlText w:val="%6"/>
      <w:lvlJc w:val="left"/>
      <w:pPr>
        <w:ind w:left="416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7E6A14FA">
      <w:start w:val="1"/>
      <w:numFmt w:val="decimal"/>
      <w:lvlText w:val="%7"/>
      <w:lvlJc w:val="left"/>
      <w:pPr>
        <w:ind w:left="488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FADA47F8">
      <w:start w:val="1"/>
      <w:numFmt w:val="lowerLetter"/>
      <w:lvlText w:val="%8"/>
      <w:lvlJc w:val="left"/>
      <w:pPr>
        <w:ind w:left="560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707E0A1C">
      <w:start w:val="1"/>
      <w:numFmt w:val="lowerRoman"/>
      <w:lvlText w:val="%9"/>
      <w:lvlJc w:val="left"/>
      <w:pPr>
        <w:ind w:left="632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3D20C2A"/>
    <w:multiLevelType w:val="hybridMultilevel"/>
    <w:tmpl w:val="9FCA8050"/>
    <w:lvl w:ilvl="0" w:tplc="FF82D39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62517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262E6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BC4C0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D096D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F0FD7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EE87E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A474C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20426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F5C3CE2"/>
    <w:multiLevelType w:val="multilevel"/>
    <w:tmpl w:val="C22C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A62103"/>
    <w:multiLevelType w:val="multilevel"/>
    <w:tmpl w:val="76B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D9D0C06"/>
    <w:multiLevelType w:val="hybridMultilevel"/>
    <w:tmpl w:val="266EA428"/>
    <w:lvl w:ilvl="0" w:tplc="8B2205F4">
      <w:start w:val="1"/>
      <w:numFmt w:val="bullet"/>
      <w:lvlText w:val="•"/>
      <w:lvlJc w:val="left"/>
      <w:pPr>
        <w:ind w:left="720" w:hanging="360"/>
      </w:pPr>
      <w:rPr>
        <w:rFonts w:ascii="Arial" w:hAnsi="Arial" w:hint="default"/>
        <w:b w:val="0"/>
        <w:i w:val="0"/>
        <w:strike w:val="0"/>
        <w:dstrike w:val="0"/>
        <w:color w:val="000000"/>
        <w:sz w:val="18"/>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1BD67CE"/>
    <w:multiLevelType w:val="hybridMultilevel"/>
    <w:tmpl w:val="0E5071A2"/>
    <w:lvl w:ilvl="0" w:tplc="E2DE0E1C">
      <w:start w:val="1"/>
      <w:numFmt w:val="decimal"/>
      <w:lvlText w:val="%1."/>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2EF0E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28A57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8C10F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C8E1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E85E2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022F3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B0D97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46E6E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FC410C5"/>
    <w:multiLevelType w:val="multilevel"/>
    <w:tmpl w:val="13DA0B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1727D66"/>
    <w:multiLevelType w:val="hybridMultilevel"/>
    <w:tmpl w:val="00BA4714"/>
    <w:lvl w:ilvl="0" w:tplc="64C687F4">
      <w:numFmt w:val="bullet"/>
      <w:lvlText w:val="•"/>
      <w:lvlJc w:val="left"/>
      <w:pPr>
        <w:ind w:left="600" w:hanging="360"/>
      </w:pPr>
      <w:rPr>
        <w:rFonts w:ascii="Arial" w:eastAsia="Times New Roman" w:hAnsi="Arial" w:cs="Aria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5" w15:restartNumberingAfterBreak="0">
    <w:nsid w:val="763E6B78"/>
    <w:multiLevelType w:val="multilevel"/>
    <w:tmpl w:val="734A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F0D79CC"/>
    <w:multiLevelType w:val="hybridMultilevel"/>
    <w:tmpl w:val="BF48B6EC"/>
    <w:lvl w:ilvl="0" w:tplc="EE7E05E4">
      <w:start w:val="1"/>
      <w:numFmt w:val="bullet"/>
      <w:lvlText w:val="•"/>
      <w:lvlJc w:val="left"/>
      <w:pPr>
        <w:ind w:left="18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C42104">
      <w:start w:val="1"/>
      <w:numFmt w:val="bullet"/>
      <w:lvlText w:val="o"/>
      <w:lvlJc w:val="left"/>
      <w:pPr>
        <w:ind w:left="2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52A53A">
      <w:start w:val="1"/>
      <w:numFmt w:val="bullet"/>
      <w:lvlText w:val="▪"/>
      <w:lvlJc w:val="left"/>
      <w:pPr>
        <w:ind w:left="2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700487C">
      <w:start w:val="1"/>
      <w:numFmt w:val="bullet"/>
      <w:lvlText w:val="•"/>
      <w:lvlJc w:val="left"/>
      <w:pPr>
        <w:ind w:left="3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A4A348">
      <w:start w:val="1"/>
      <w:numFmt w:val="bullet"/>
      <w:lvlText w:val="o"/>
      <w:lvlJc w:val="left"/>
      <w:pPr>
        <w:ind w:left="4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E0EC62">
      <w:start w:val="1"/>
      <w:numFmt w:val="bullet"/>
      <w:lvlText w:val="▪"/>
      <w:lvlJc w:val="left"/>
      <w:pPr>
        <w:ind w:left="5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EA82AD6">
      <w:start w:val="1"/>
      <w:numFmt w:val="bullet"/>
      <w:lvlText w:val="•"/>
      <w:lvlJc w:val="left"/>
      <w:pPr>
        <w:ind w:left="58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18A16A">
      <w:start w:val="1"/>
      <w:numFmt w:val="bullet"/>
      <w:lvlText w:val="o"/>
      <w:lvlJc w:val="left"/>
      <w:pPr>
        <w:ind w:left="65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24A1E34">
      <w:start w:val="1"/>
      <w:numFmt w:val="bullet"/>
      <w:lvlText w:val="▪"/>
      <w:lvlJc w:val="left"/>
      <w:pPr>
        <w:ind w:left="72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978682551">
    <w:abstractNumId w:val="14"/>
  </w:num>
  <w:num w:numId="2" w16cid:durableId="1941329030">
    <w:abstractNumId w:val="8"/>
  </w:num>
  <w:num w:numId="3" w16cid:durableId="1673872311">
    <w:abstractNumId w:val="0"/>
  </w:num>
  <w:num w:numId="4" w16cid:durableId="2125495211">
    <w:abstractNumId w:val="10"/>
  </w:num>
  <w:num w:numId="5" w16cid:durableId="811017503">
    <w:abstractNumId w:val="3"/>
  </w:num>
  <w:num w:numId="6" w16cid:durableId="1353999097">
    <w:abstractNumId w:val="4"/>
  </w:num>
  <w:num w:numId="7" w16cid:durableId="624043321">
    <w:abstractNumId w:val="6"/>
  </w:num>
  <w:num w:numId="8" w16cid:durableId="1024482802">
    <w:abstractNumId w:val="9"/>
  </w:num>
  <w:num w:numId="9" w16cid:durableId="1175344260">
    <w:abstractNumId w:val="15"/>
  </w:num>
  <w:num w:numId="10" w16cid:durableId="468282008">
    <w:abstractNumId w:val="5"/>
  </w:num>
  <w:num w:numId="11" w16cid:durableId="95948625">
    <w:abstractNumId w:val="13"/>
  </w:num>
  <w:num w:numId="12" w16cid:durableId="1506506549">
    <w:abstractNumId w:val="16"/>
  </w:num>
  <w:num w:numId="13" w16cid:durableId="1844275872">
    <w:abstractNumId w:val="7"/>
  </w:num>
  <w:num w:numId="14" w16cid:durableId="1547840509">
    <w:abstractNumId w:val="2"/>
  </w:num>
  <w:num w:numId="15" w16cid:durableId="901257855">
    <w:abstractNumId w:val="12"/>
  </w:num>
  <w:num w:numId="16" w16cid:durableId="1016032816">
    <w:abstractNumId w:val="1"/>
  </w:num>
  <w:num w:numId="17" w16cid:durableId="445286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203"/>
    <w:rsid w:val="00010CCC"/>
    <w:rsid w:val="000364A7"/>
    <w:rsid w:val="00045DDC"/>
    <w:rsid w:val="000507E8"/>
    <w:rsid w:val="00052122"/>
    <w:rsid w:val="00053747"/>
    <w:rsid w:val="0006439D"/>
    <w:rsid w:val="000A3BE0"/>
    <w:rsid w:val="000C036B"/>
    <w:rsid w:val="000C4F60"/>
    <w:rsid w:val="000D402A"/>
    <w:rsid w:val="000E33B3"/>
    <w:rsid w:val="000E40FA"/>
    <w:rsid w:val="000E72DA"/>
    <w:rsid w:val="001164D9"/>
    <w:rsid w:val="001237B1"/>
    <w:rsid w:val="00123C99"/>
    <w:rsid w:val="00126B95"/>
    <w:rsid w:val="00127B7A"/>
    <w:rsid w:val="001355C2"/>
    <w:rsid w:val="001455A7"/>
    <w:rsid w:val="001A7338"/>
    <w:rsid w:val="001B34E5"/>
    <w:rsid w:val="001C6841"/>
    <w:rsid w:val="001E65B5"/>
    <w:rsid w:val="00212B0B"/>
    <w:rsid w:val="0022278A"/>
    <w:rsid w:val="00224BEE"/>
    <w:rsid w:val="002250C4"/>
    <w:rsid w:val="00225CC0"/>
    <w:rsid w:val="0022689D"/>
    <w:rsid w:val="00237B3C"/>
    <w:rsid w:val="00270EB5"/>
    <w:rsid w:val="002733AB"/>
    <w:rsid w:val="002A2EDB"/>
    <w:rsid w:val="002A6F66"/>
    <w:rsid w:val="002C34E9"/>
    <w:rsid w:val="00304866"/>
    <w:rsid w:val="00306F7C"/>
    <w:rsid w:val="00314D7B"/>
    <w:rsid w:val="003632AF"/>
    <w:rsid w:val="00363E90"/>
    <w:rsid w:val="003733E5"/>
    <w:rsid w:val="003A3DFA"/>
    <w:rsid w:val="003B1DDB"/>
    <w:rsid w:val="003B74F2"/>
    <w:rsid w:val="003C471E"/>
    <w:rsid w:val="003D0203"/>
    <w:rsid w:val="003F491A"/>
    <w:rsid w:val="004035F7"/>
    <w:rsid w:val="00406C37"/>
    <w:rsid w:val="004D4739"/>
    <w:rsid w:val="00502DCA"/>
    <w:rsid w:val="00516972"/>
    <w:rsid w:val="005411B3"/>
    <w:rsid w:val="005800AE"/>
    <w:rsid w:val="00584D81"/>
    <w:rsid w:val="0059700E"/>
    <w:rsid w:val="00625366"/>
    <w:rsid w:val="006309E1"/>
    <w:rsid w:val="00630DDE"/>
    <w:rsid w:val="00647B28"/>
    <w:rsid w:val="00675EDB"/>
    <w:rsid w:val="00676BE7"/>
    <w:rsid w:val="00691C0C"/>
    <w:rsid w:val="006B044C"/>
    <w:rsid w:val="006B4A60"/>
    <w:rsid w:val="006C6594"/>
    <w:rsid w:val="006E44D9"/>
    <w:rsid w:val="006F4C49"/>
    <w:rsid w:val="00711FC6"/>
    <w:rsid w:val="00720ABC"/>
    <w:rsid w:val="00727068"/>
    <w:rsid w:val="00777A40"/>
    <w:rsid w:val="007851DF"/>
    <w:rsid w:val="007A169D"/>
    <w:rsid w:val="007B0937"/>
    <w:rsid w:val="007C020B"/>
    <w:rsid w:val="007C282D"/>
    <w:rsid w:val="007D1AD1"/>
    <w:rsid w:val="007D7093"/>
    <w:rsid w:val="0080449C"/>
    <w:rsid w:val="00813353"/>
    <w:rsid w:val="00840D7E"/>
    <w:rsid w:val="00853A9D"/>
    <w:rsid w:val="008E18EB"/>
    <w:rsid w:val="008E77B3"/>
    <w:rsid w:val="008F6E69"/>
    <w:rsid w:val="00902E10"/>
    <w:rsid w:val="009336BC"/>
    <w:rsid w:val="0094096C"/>
    <w:rsid w:val="00940E2F"/>
    <w:rsid w:val="0095520C"/>
    <w:rsid w:val="00957870"/>
    <w:rsid w:val="009673F6"/>
    <w:rsid w:val="00973145"/>
    <w:rsid w:val="00991987"/>
    <w:rsid w:val="009A2186"/>
    <w:rsid w:val="009B38C8"/>
    <w:rsid w:val="009C344A"/>
    <w:rsid w:val="009E43ED"/>
    <w:rsid w:val="009F5144"/>
    <w:rsid w:val="009F52BB"/>
    <w:rsid w:val="009F7BBD"/>
    <w:rsid w:val="00A14079"/>
    <w:rsid w:val="00A14EEC"/>
    <w:rsid w:val="00A50259"/>
    <w:rsid w:val="00B0053B"/>
    <w:rsid w:val="00B4165A"/>
    <w:rsid w:val="00B91285"/>
    <w:rsid w:val="00BB025D"/>
    <w:rsid w:val="00BB7210"/>
    <w:rsid w:val="00BC3941"/>
    <w:rsid w:val="00BD4B76"/>
    <w:rsid w:val="00BE0DB9"/>
    <w:rsid w:val="00BE28A8"/>
    <w:rsid w:val="00BE6465"/>
    <w:rsid w:val="00C15875"/>
    <w:rsid w:val="00C4741B"/>
    <w:rsid w:val="00C74F49"/>
    <w:rsid w:val="00C91D55"/>
    <w:rsid w:val="00CD7498"/>
    <w:rsid w:val="00D246A9"/>
    <w:rsid w:val="00D277B2"/>
    <w:rsid w:val="00D2791E"/>
    <w:rsid w:val="00D30909"/>
    <w:rsid w:val="00D35FB1"/>
    <w:rsid w:val="00D4284B"/>
    <w:rsid w:val="00D85CBE"/>
    <w:rsid w:val="00D87FF2"/>
    <w:rsid w:val="00DB3A76"/>
    <w:rsid w:val="00DD02F8"/>
    <w:rsid w:val="00DD2EB1"/>
    <w:rsid w:val="00DE2BC9"/>
    <w:rsid w:val="00E0529F"/>
    <w:rsid w:val="00E236E9"/>
    <w:rsid w:val="00E26D61"/>
    <w:rsid w:val="00E617E2"/>
    <w:rsid w:val="00E62AAB"/>
    <w:rsid w:val="00E72EA2"/>
    <w:rsid w:val="00E913C2"/>
    <w:rsid w:val="00E92416"/>
    <w:rsid w:val="00EA32B2"/>
    <w:rsid w:val="00EB27F0"/>
    <w:rsid w:val="00EB4E9E"/>
    <w:rsid w:val="00EC2E75"/>
    <w:rsid w:val="00EE69D4"/>
    <w:rsid w:val="00F35E5D"/>
    <w:rsid w:val="00F43D1E"/>
    <w:rsid w:val="00F749EE"/>
    <w:rsid w:val="00F81E28"/>
    <w:rsid w:val="00FD7E39"/>
    <w:rsid w:val="00FE0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6A75C"/>
  <w15:chartTrackingRefBased/>
  <w15:docId w15:val="{E8BE4F07-229C-4555-A539-49F3397B1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165A"/>
    <w:rPr>
      <w:sz w:val="24"/>
    </w:rPr>
  </w:style>
  <w:style w:type="paragraph" w:styleId="Heading1">
    <w:name w:val="heading 1"/>
    <w:basedOn w:val="NormalWeb"/>
    <w:next w:val="Normal"/>
    <w:link w:val="Heading1Char"/>
    <w:qFormat/>
    <w:rsid w:val="00B4165A"/>
    <w:pPr>
      <w:spacing w:before="0" w:beforeAutospacing="0" w:after="0" w:afterAutospacing="0"/>
      <w:jc w:val="center"/>
      <w:outlineLvl w:val="0"/>
    </w:pPr>
    <w:rPr>
      <w:rFonts w:ascii="Arial" w:hAnsi="Arial" w:cs="Arial"/>
      <w:color w:val="595959"/>
      <w:sz w:val="60"/>
      <w:szCs w:val="60"/>
    </w:rPr>
  </w:style>
  <w:style w:type="paragraph" w:styleId="Heading2">
    <w:name w:val="heading 2"/>
    <w:basedOn w:val="NormalWeb"/>
    <w:next w:val="Normal"/>
    <w:link w:val="Heading2Char"/>
    <w:unhideWhenUsed/>
    <w:qFormat/>
    <w:rsid w:val="00B4165A"/>
    <w:pPr>
      <w:pageBreakBefore/>
      <w:spacing w:before="0" w:beforeAutospacing="0" w:after="0" w:afterAutospacing="0"/>
      <w:outlineLvl w:val="1"/>
    </w:pPr>
    <w:rPr>
      <w:rFonts w:ascii="Arial" w:hAnsi="Arial" w:cs="Arial"/>
      <w:b/>
      <w:bCs/>
      <w:sz w:val="50"/>
      <w:szCs w:val="50"/>
    </w:rPr>
  </w:style>
  <w:style w:type="paragraph" w:styleId="Heading3">
    <w:name w:val="heading 3"/>
    <w:basedOn w:val="NormalWeb"/>
    <w:next w:val="Normal"/>
    <w:link w:val="Heading3Char"/>
    <w:unhideWhenUsed/>
    <w:qFormat/>
    <w:rsid w:val="00B4165A"/>
    <w:pPr>
      <w:spacing w:before="80" w:beforeAutospacing="0" w:after="0" w:afterAutospacing="0"/>
      <w:outlineLvl w:val="2"/>
    </w:pPr>
    <w:rPr>
      <w:rFonts w:ascii="Arial" w:hAnsi="Arial" w:cs="Arial"/>
      <w:b/>
      <w:bCs/>
      <w:color w:val="0075C9"/>
      <w:sz w:val="28"/>
      <w:szCs w:val="28"/>
    </w:rPr>
  </w:style>
  <w:style w:type="paragraph" w:styleId="Heading4">
    <w:name w:val="heading 4"/>
    <w:basedOn w:val="NormalWeb"/>
    <w:next w:val="Normal"/>
    <w:link w:val="Heading4Char"/>
    <w:unhideWhenUsed/>
    <w:qFormat/>
    <w:rsid w:val="00B4165A"/>
    <w:pPr>
      <w:spacing w:before="240" w:beforeAutospacing="0" w:after="0" w:afterAutospacing="0"/>
      <w:outlineLvl w:val="3"/>
    </w:pPr>
    <w:rPr>
      <w:rFonts w:ascii="Arial" w:hAnsi="Arial" w:cs="Arial"/>
      <w:b/>
      <w:bCs/>
    </w:rPr>
  </w:style>
  <w:style w:type="paragraph" w:styleId="Heading5">
    <w:name w:val="heading 5"/>
    <w:basedOn w:val="NormalWeb"/>
    <w:next w:val="Normal"/>
    <w:link w:val="Heading5Char"/>
    <w:unhideWhenUsed/>
    <w:qFormat/>
    <w:rsid w:val="00B4165A"/>
    <w:pPr>
      <w:spacing w:before="120" w:beforeAutospacing="0" w:after="0" w:afterAutospacing="0"/>
      <w:outlineLvl w:val="4"/>
    </w:pPr>
    <w:rPr>
      <w:rFonts w:ascii="Arial" w:hAnsi="Arial" w:cs="Arial"/>
      <w:b/>
      <w:bCs/>
      <w:color w:val="0075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pPr>
      <w:spacing w:line="240" w:lineRule="exact"/>
      <w:jc w:val="center"/>
    </w:pPr>
    <w:rPr>
      <w:b/>
      <w:noProof/>
    </w:rPr>
  </w:style>
  <w:style w:type="paragraph" w:customStyle="1" w:styleId="H2">
    <w:name w:val="H2"/>
    <w:pPr>
      <w:spacing w:line="240" w:lineRule="exact"/>
    </w:pPr>
    <w:rPr>
      <w:b/>
      <w:noProof/>
    </w:rPr>
  </w:style>
  <w:style w:type="paragraph" w:customStyle="1" w:styleId="H3">
    <w:name w:val="H3"/>
    <w:pPr>
      <w:spacing w:line="240" w:lineRule="exact"/>
      <w:jc w:val="right"/>
    </w:pPr>
    <w:rPr>
      <w:b/>
      <w:noProof/>
    </w:rPr>
  </w:style>
  <w:style w:type="paragraph" w:customStyle="1" w:styleId="H4">
    <w:name w:val="H4"/>
    <w:pPr>
      <w:spacing w:line="240" w:lineRule="exact"/>
      <w:jc w:val="center"/>
    </w:pPr>
    <w:rPr>
      <w:i/>
      <w:noProof/>
    </w:rPr>
  </w:style>
  <w:style w:type="paragraph" w:customStyle="1" w:styleId="H4X">
    <w:name w:val="H4X"/>
    <w:pPr>
      <w:spacing w:line="240" w:lineRule="exact"/>
      <w:jc w:val="center"/>
    </w:pPr>
    <w:rPr>
      <w:b/>
      <w:i/>
      <w:noProof/>
    </w:rPr>
  </w:style>
  <w:style w:type="paragraph" w:customStyle="1" w:styleId="H5">
    <w:name w:val="H5"/>
    <w:pPr>
      <w:spacing w:line="240" w:lineRule="exact"/>
    </w:pPr>
    <w:rPr>
      <w:i/>
      <w:noProof/>
    </w:rPr>
  </w:style>
  <w:style w:type="paragraph" w:customStyle="1" w:styleId="H5X">
    <w:name w:val="H5X"/>
    <w:pPr>
      <w:spacing w:line="240" w:lineRule="exact"/>
    </w:pPr>
    <w:rPr>
      <w:b/>
      <w:i/>
      <w:noProof/>
    </w:rPr>
  </w:style>
  <w:style w:type="paragraph" w:customStyle="1" w:styleId="H6">
    <w:name w:val="H6"/>
    <w:pPr>
      <w:spacing w:line="240" w:lineRule="exact"/>
      <w:jc w:val="right"/>
    </w:pPr>
    <w:rPr>
      <w:i/>
      <w:noProof/>
    </w:rPr>
  </w:style>
  <w:style w:type="paragraph" w:customStyle="1" w:styleId="H6X">
    <w:name w:val="H6X"/>
    <w:pPr>
      <w:spacing w:line="240" w:lineRule="exact"/>
      <w:jc w:val="right"/>
    </w:pPr>
    <w:rPr>
      <w:b/>
      <w:i/>
      <w:noProof/>
    </w:rPr>
  </w:style>
  <w:style w:type="paragraph" w:customStyle="1" w:styleId="H7">
    <w:name w:val="H7"/>
    <w:pPr>
      <w:spacing w:line="240" w:lineRule="exact"/>
      <w:jc w:val="center"/>
    </w:pPr>
    <w:rPr>
      <w:noProof/>
    </w:rPr>
  </w:style>
  <w:style w:type="paragraph" w:customStyle="1" w:styleId="H8">
    <w:name w:val="H8"/>
    <w:pPr>
      <w:spacing w:line="240" w:lineRule="exact"/>
    </w:pPr>
    <w:rPr>
      <w:noProof/>
    </w:rPr>
  </w:style>
  <w:style w:type="paragraph" w:customStyle="1" w:styleId="H9">
    <w:name w:val="H9"/>
    <w:pPr>
      <w:spacing w:line="240" w:lineRule="exact"/>
      <w:jc w:val="right"/>
    </w:pPr>
    <w:rPr>
      <w:noProof/>
    </w:rPr>
  </w:style>
  <w:style w:type="paragraph" w:customStyle="1" w:styleId="I1">
    <w:name w:val="I1"/>
    <w:pPr>
      <w:spacing w:line="240" w:lineRule="exact"/>
      <w:ind w:left="240"/>
    </w:pPr>
    <w:rPr>
      <w:noProof/>
    </w:rPr>
  </w:style>
  <w:style w:type="paragraph" w:customStyle="1" w:styleId="I2">
    <w:name w:val="I2"/>
    <w:pPr>
      <w:spacing w:line="240" w:lineRule="exact"/>
      <w:ind w:left="480"/>
    </w:pPr>
    <w:rPr>
      <w:noProof/>
    </w:rPr>
  </w:style>
  <w:style w:type="paragraph" w:customStyle="1" w:styleId="I3">
    <w:name w:val="I3"/>
    <w:pPr>
      <w:spacing w:line="240" w:lineRule="exact"/>
      <w:ind w:left="720"/>
    </w:pPr>
    <w:rPr>
      <w:noProof/>
    </w:rPr>
  </w:style>
  <w:style w:type="paragraph" w:customStyle="1" w:styleId="I4">
    <w:name w:val="I4"/>
    <w:pPr>
      <w:spacing w:line="240" w:lineRule="exact"/>
      <w:ind w:left="960"/>
    </w:pPr>
    <w:rPr>
      <w:noProof/>
    </w:rPr>
  </w:style>
  <w:style w:type="paragraph" w:customStyle="1" w:styleId="IH1">
    <w:name w:val="IH1"/>
    <w:pPr>
      <w:spacing w:line="240" w:lineRule="exact"/>
      <w:ind w:left="200" w:hanging="200"/>
    </w:pPr>
    <w:rPr>
      <w:noProof/>
    </w:rPr>
  </w:style>
  <w:style w:type="paragraph" w:customStyle="1" w:styleId="IH2">
    <w:name w:val="IH2"/>
    <w:pPr>
      <w:ind w:left="400" w:hanging="400"/>
    </w:pPr>
    <w:rPr>
      <w:noProof/>
    </w:rPr>
  </w:style>
  <w:style w:type="paragraph" w:customStyle="1" w:styleId="IH3">
    <w:name w:val="IH3"/>
    <w:pPr>
      <w:tabs>
        <w:tab w:val="left" w:pos="2"/>
      </w:tabs>
      <w:spacing w:line="240" w:lineRule="exact"/>
      <w:ind w:left="500" w:hanging="500"/>
    </w:pPr>
    <w:rPr>
      <w:noProof/>
    </w:rPr>
  </w:style>
  <w:style w:type="paragraph" w:customStyle="1" w:styleId="P1">
    <w:name w:val="P1"/>
    <w:pPr>
      <w:spacing w:line="240" w:lineRule="exact"/>
    </w:pPr>
    <w:rPr>
      <w:noProof/>
    </w:rPr>
  </w:style>
  <w:style w:type="paragraph" w:customStyle="1" w:styleId="P2">
    <w:name w:val="P2"/>
    <w:pPr>
      <w:spacing w:line="240" w:lineRule="exact"/>
    </w:pPr>
    <w:rPr>
      <w:b/>
      <w:noProof/>
    </w:rPr>
  </w:style>
  <w:style w:type="paragraph" w:customStyle="1" w:styleId="P3">
    <w:name w:val="P3"/>
    <w:pPr>
      <w:spacing w:line="240" w:lineRule="exact"/>
    </w:pPr>
    <w:rPr>
      <w:i/>
      <w:noProof/>
    </w:rPr>
  </w:style>
  <w:style w:type="paragraph" w:customStyle="1" w:styleId="P4">
    <w:name w:val="P4"/>
    <w:pPr>
      <w:spacing w:line="240" w:lineRule="exact"/>
    </w:pPr>
    <w:rPr>
      <w:b/>
      <w:i/>
      <w:noProof/>
    </w:rPr>
  </w:style>
  <w:style w:type="paragraph" w:customStyle="1" w:styleId="LP10">
    <w:name w:val="LP10"/>
    <w:rPr>
      <w:noProof/>
    </w:rPr>
  </w:style>
  <w:style w:type="paragraph" w:customStyle="1" w:styleId="LP4">
    <w:name w:val="LP4"/>
    <w:rPr>
      <w:noProof/>
      <w:sz w:val="8"/>
    </w:rPr>
  </w:style>
  <w:style w:type="paragraph" w:customStyle="1" w:styleId="LP6">
    <w:name w:val="LP6"/>
    <w:pPr>
      <w:spacing w:line="120" w:lineRule="exact"/>
      <w:jc w:val="both"/>
    </w:pPr>
    <w:rPr>
      <w:noProof/>
      <w:sz w:val="12"/>
    </w:rPr>
  </w:style>
  <w:style w:type="paragraph" w:customStyle="1" w:styleId="LP8">
    <w:name w:val="LP8"/>
    <w:rPr>
      <w:noProof/>
      <w:sz w:val="16"/>
    </w:rPr>
  </w:style>
  <w:style w:type="paragraph" w:customStyle="1" w:styleId="LP12">
    <w:name w:val="LP12"/>
    <w:pPr>
      <w:spacing w:line="240" w:lineRule="exact"/>
      <w:jc w:val="both"/>
    </w:pPr>
    <w:rPr>
      <w:noProof/>
      <w:sz w:val="24"/>
    </w:rPr>
  </w:style>
  <w:style w:type="paragraph" w:customStyle="1" w:styleId="LP24">
    <w:name w:val="LP24"/>
    <w:pPr>
      <w:spacing w:line="480" w:lineRule="exact"/>
      <w:jc w:val="both"/>
    </w:pPr>
    <w:rPr>
      <w:noProof/>
      <w:sz w:val="48"/>
    </w:rPr>
  </w:style>
  <w:style w:type="paragraph" w:customStyle="1" w:styleId="LP18">
    <w:name w:val="LP18"/>
    <w:pPr>
      <w:spacing w:line="360" w:lineRule="exact"/>
      <w:jc w:val="both"/>
    </w:pPr>
    <w:rPr>
      <w:noProof/>
      <w:sz w:val="36"/>
    </w:rPr>
  </w:style>
  <w:style w:type="paragraph" w:customStyle="1" w:styleId="C8H">
    <w:name w:val="C8H"/>
    <w:pPr>
      <w:spacing w:line="160" w:lineRule="exact"/>
      <w:jc w:val="center"/>
    </w:pPr>
    <w:rPr>
      <w:b/>
      <w:noProof/>
      <w:sz w:val="16"/>
    </w:rPr>
  </w:style>
  <w:style w:type="paragraph" w:customStyle="1" w:styleId="ST10">
    <w:name w:val="ST10"/>
    <w:pPr>
      <w:spacing w:line="240" w:lineRule="exact"/>
    </w:pPr>
    <w:rPr>
      <w:noProof/>
    </w:rPr>
  </w:style>
  <w:style w:type="paragraph" w:customStyle="1" w:styleId="C10">
    <w:name w:val="C10"/>
    <w:pPr>
      <w:spacing w:line="240" w:lineRule="exact"/>
      <w:jc w:val="right"/>
    </w:pPr>
    <w:rPr>
      <w:noProof/>
    </w:rPr>
  </w:style>
  <w:style w:type="character" w:customStyle="1" w:styleId="doubleunderlines">
    <w:name w:val="doubleunderlines"/>
    <w:qFormat/>
    <w:rPr>
      <w:u w:val="double"/>
    </w:rPr>
  </w:style>
  <w:style w:type="paragraph" w:customStyle="1" w:styleId="msonormal0">
    <w:name w:val="msonormal"/>
    <w:basedOn w:val="Normal"/>
    <w:rsid w:val="00D246A9"/>
    <w:pPr>
      <w:spacing w:before="100" w:beforeAutospacing="1" w:after="100" w:afterAutospacing="1"/>
    </w:pPr>
    <w:rPr>
      <w:szCs w:val="24"/>
    </w:rPr>
  </w:style>
  <w:style w:type="paragraph" w:customStyle="1" w:styleId="TABLE">
    <w:name w:val="TABLE"/>
    <w:basedOn w:val="Normal"/>
    <w:pPr>
      <w:spacing w:line="240" w:lineRule="exact"/>
    </w:pPr>
    <w:rPr>
      <w:noProof/>
      <w:sz w:val="20"/>
    </w:rPr>
  </w:style>
  <w:style w:type="paragraph" w:customStyle="1" w:styleId="rrdColumnRuleStyle">
    <w:name w:val="rrdColumnRule_Style"/>
    <w:basedOn w:val="Normal"/>
    <w:pPr>
      <w:pBdr>
        <w:top w:val="single" w:sz="6" w:space="1" w:color="auto"/>
      </w:pBdr>
      <w:spacing w:before="20" w:line="40" w:lineRule="exact"/>
      <w:jc w:val="center"/>
    </w:pPr>
    <w:rPr>
      <w:sz w:val="8"/>
      <w:szCs w:val="8"/>
    </w:rPr>
  </w:style>
  <w:style w:type="paragraph" w:customStyle="1" w:styleId="rrdsinglerule">
    <w:name w:val="rrdsinglerule"/>
    <w:basedOn w:val="Normal"/>
    <w:next w:val="Normal"/>
    <w:pPr>
      <w:pBdr>
        <w:top w:val="single" w:sz="8" w:space="1" w:color="auto"/>
      </w:pBdr>
      <w:spacing w:before="20" w:line="20" w:lineRule="exact"/>
      <w:jc w:val="center"/>
    </w:pPr>
    <w:rPr>
      <w:sz w:val="8"/>
      <w:szCs w:val="8"/>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link w:val="NormalWebChar"/>
    <w:uiPriority w:val="99"/>
    <w:pPr>
      <w:spacing w:before="100" w:beforeAutospacing="1" w:after="100" w:afterAutospacing="1"/>
    </w:pPr>
    <w:rPr>
      <w:szCs w:val="24"/>
    </w:rPr>
  </w:style>
  <w:style w:type="paragraph" w:customStyle="1" w:styleId="rrddoublerule">
    <w:name w:val="rrddoublerule"/>
    <w:basedOn w:val="rrdsinglerule"/>
    <w:pPr>
      <w:pBdr>
        <w:top w:val="double" w:sz="6" w:space="1" w:color="auto"/>
      </w:pBdr>
    </w:pPr>
  </w:style>
  <w:style w:type="paragraph" w:customStyle="1" w:styleId="LA4">
    <w:name w:val="LA4"/>
    <w:basedOn w:val="Normal"/>
    <w:pPr>
      <w:spacing w:line="80" w:lineRule="exact"/>
    </w:pPr>
    <w:rPr>
      <w:sz w:val="8"/>
      <w:szCs w:val="8"/>
    </w:rPr>
  </w:style>
  <w:style w:type="paragraph" w:customStyle="1" w:styleId="la2">
    <w:name w:val="la2"/>
    <w:basedOn w:val="LP4"/>
    <w:next w:val="P1"/>
    <w:pPr>
      <w:spacing w:line="40" w:lineRule="exact"/>
    </w:pPr>
    <w:rPr>
      <w:szCs w:val="8"/>
    </w:rPr>
  </w:style>
  <w:style w:type="paragraph" w:customStyle="1" w:styleId="rco">
    <w:name w:val="rco"/>
    <w:pPr>
      <w:pBdr>
        <w:bottom w:val="single" w:sz="8" w:space="1" w:color="auto"/>
      </w:pBdr>
      <w:spacing w:line="80" w:lineRule="exact"/>
      <w:ind w:left="4320" w:right="4320"/>
      <w:jc w:val="center"/>
    </w:pPr>
    <w:rPr>
      <w:noProof/>
      <w:sz w:val="12"/>
    </w:rPr>
  </w:style>
  <w:style w:type="paragraph" w:customStyle="1" w:styleId="rfn">
    <w:name w:val="rfn"/>
    <w:autoRedefine/>
    <w:pPr>
      <w:pBdr>
        <w:bottom w:val="single" w:sz="6" w:space="1" w:color="auto"/>
      </w:pBdr>
      <w:spacing w:after="60" w:line="120" w:lineRule="exact"/>
      <w:ind w:right="7200"/>
    </w:pPr>
    <w:rPr>
      <w:noProof/>
      <w:sz w:val="12"/>
    </w:rPr>
  </w:style>
  <w:style w:type="character" w:customStyle="1" w:styleId="DefinedTerm">
    <w:name w:val="Defined Term"/>
    <w:basedOn w:val="DefaultParagraphFont"/>
    <w:rsid w:val="00D246A9"/>
  </w:style>
  <w:style w:type="character" w:styleId="Hyperlink">
    <w:name w:val="Hyperlink"/>
    <w:uiPriority w:val="99"/>
    <w:unhideWhenUsed/>
    <w:rsid w:val="00D246A9"/>
    <w:rPr>
      <w:color w:val="0000FF"/>
      <w:u w:val="single"/>
    </w:rPr>
  </w:style>
  <w:style w:type="character" w:styleId="FollowedHyperlink">
    <w:name w:val="FollowedHyperlink"/>
    <w:unhideWhenUsed/>
    <w:rsid w:val="00D246A9"/>
    <w:rPr>
      <w:color w:val="800080"/>
      <w:u w:val="single"/>
    </w:rPr>
  </w:style>
  <w:style w:type="character" w:customStyle="1" w:styleId="FooterChar">
    <w:name w:val="Footer Char"/>
    <w:link w:val="Footer"/>
    <w:uiPriority w:val="99"/>
    <w:rsid w:val="00306F7C"/>
    <w:rPr>
      <w:sz w:val="24"/>
    </w:rPr>
  </w:style>
  <w:style w:type="table" w:styleId="TableGrid">
    <w:name w:val="Table Grid"/>
    <w:basedOn w:val="TableNormal"/>
    <w:rsid w:val="00053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F81E28"/>
    <w:rPr>
      <w:sz w:val="16"/>
      <w:szCs w:val="16"/>
    </w:rPr>
  </w:style>
  <w:style w:type="paragraph" w:styleId="CommentText">
    <w:name w:val="annotation text"/>
    <w:basedOn w:val="Normal"/>
    <w:link w:val="CommentTextChar"/>
    <w:uiPriority w:val="99"/>
    <w:rsid w:val="00F81E28"/>
    <w:rPr>
      <w:sz w:val="20"/>
    </w:rPr>
  </w:style>
  <w:style w:type="character" w:customStyle="1" w:styleId="CommentTextChar">
    <w:name w:val="Comment Text Char"/>
    <w:basedOn w:val="DefaultParagraphFont"/>
    <w:link w:val="CommentText"/>
    <w:uiPriority w:val="99"/>
    <w:rsid w:val="00F81E28"/>
  </w:style>
  <w:style w:type="paragraph" w:styleId="CommentSubject">
    <w:name w:val="annotation subject"/>
    <w:basedOn w:val="CommentText"/>
    <w:next w:val="CommentText"/>
    <w:link w:val="CommentSubjectChar"/>
    <w:uiPriority w:val="99"/>
    <w:rsid w:val="00F81E28"/>
    <w:rPr>
      <w:b/>
      <w:bCs/>
    </w:rPr>
  </w:style>
  <w:style w:type="character" w:customStyle="1" w:styleId="CommentSubjectChar">
    <w:name w:val="Comment Subject Char"/>
    <w:basedOn w:val="CommentTextChar"/>
    <w:link w:val="CommentSubject"/>
    <w:uiPriority w:val="99"/>
    <w:rsid w:val="00F81E28"/>
    <w:rPr>
      <w:b/>
      <w:bCs/>
    </w:rPr>
  </w:style>
  <w:style w:type="character" w:customStyle="1" w:styleId="Heading1Char">
    <w:name w:val="Heading 1 Char"/>
    <w:basedOn w:val="DefaultParagraphFont"/>
    <w:link w:val="Heading1"/>
    <w:rsid w:val="00B4165A"/>
    <w:rPr>
      <w:rFonts w:ascii="Arial" w:hAnsi="Arial" w:cs="Arial"/>
      <w:color w:val="595959"/>
      <w:sz w:val="60"/>
      <w:szCs w:val="60"/>
    </w:rPr>
  </w:style>
  <w:style w:type="character" w:customStyle="1" w:styleId="Heading2Char">
    <w:name w:val="Heading 2 Char"/>
    <w:basedOn w:val="DefaultParagraphFont"/>
    <w:link w:val="Heading2"/>
    <w:rsid w:val="00B4165A"/>
    <w:rPr>
      <w:rFonts w:ascii="Arial" w:hAnsi="Arial" w:cs="Arial"/>
      <w:b/>
      <w:bCs/>
      <w:sz w:val="50"/>
      <w:szCs w:val="50"/>
    </w:rPr>
  </w:style>
  <w:style w:type="character" w:customStyle="1" w:styleId="Heading3Char">
    <w:name w:val="Heading 3 Char"/>
    <w:basedOn w:val="DefaultParagraphFont"/>
    <w:link w:val="Heading3"/>
    <w:rsid w:val="00B4165A"/>
    <w:rPr>
      <w:rFonts w:ascii="Arial" w:hAnsi="Arial" w:cs="Arial"/>
      <w:b/>
      <w:bCs/>
      <w:color w:val="0075C9"/>
      <w:sz w:val="28"/>
      <w:szCs w:val="28"/>
    </w:rPr>
  </w:style>
  <w:style w:type="character" w:customStyle="1" w:styleId="Heading4Char">
    <w:name w:val="Heading 4 Char"/>
    <w:basedOn w:val="DefaultParagraphFont"/>
    <w:link w:val="Heading4"/>
    <w:rsid w:val="00B4165A"/>
    <w:rPr>
      <w:rFonts w:ascii="Arial" w:hAnsi="Arial" w:cs="Arial"/>
      <w:b/>
      <w:bCs/>
      <w:sz w:val="24"/>
      <w:szCs w:val="24"/>
    </w:rPr>
  </w:style>
  <w:style w:type="character" w:customStyle="1" w:styleId="Heading5Char">
    <w:name w:val="Heading 5 Char"/>
    <w:basedOn w:val="DefaultParagraphFont"/>
    <w:link w:val="Heading5"/>
    <w:rsid w:val="00B4165A"/>
    <w:rPr>
      <w:rFonts w:ascii="Arial" w:hAnsi="Arial" w:cs="Arial"/>
      <w:b/>
      <w:bCs/>
      <w:color w:val="0075C9"/>
    </w:rPr>
  </w:style>
  <w:style w:type="paragraph" w:styleId="FootnoteText">
    <w:name w:val="footnote text"/>
    <w:basedOn w:val="Normal"/>
    <w:link w:val="FootnoteTextChar"/>
    <w:uiPriority w:val="99"/>
    <w:rsid w:val="00E617E2"/>
    <w:rPr>
      <w:sz w:val="20"/>
    </w:rPr>
  </w:style>
  <w:style w:type="character" w:customStyle="1" w:styleId="FootnoteTextChar">
    <w:name w:val="Footnote Text Char"/>
    <w:basedOn w:val="DefaultParagraphFont"/>
    <w:link w:val="FootnoteText"/>
    <w:uiPriority w:val="99"/>
    <w:rsid w:val="00E617E2"/>
  </w:style>
  <w:style w:type="paragraph" w:styleId="Revision">
    <w:name w:val="Revision"/>
    <w:hidden/>
    <w:uiPriority w:val="99"/>
    <w:semiHidden/>
    <w:rsid w:val="00E617E2"/>
    <w:rPr>
      <w:sz w:val="24"/>
    </w:rPr>
  </w:style>
  <w:style w:type="character" w:customStyle="1" w:styleId="NormalWebChar">
    <w:name w:val="Normal (Web) Char"/>
    <w:link w:val="NormalWeb"/>
    <w:uiPriority w:val="99"/>
    <w:rsid w:val="00E617E2"/>
    <w:rPr>
      <w:sz w:val="24"/>
      <w:szCs w:val="24"/>
    </w:rPr>
  </w:style>
  <w:style w:type="character" w:customStyle="1" w:styleId="HeaderChar">
    <w:name w:val="Header Char"/>
    <w:link w:val="Header"/>
    <w:uiPriority w:val="99"/>
    <w:rsid w:val="00E617E2"/>
    <w:rPr>
      <w:sz w:val="24"/>
    </w:rPr>
  </w:style>
  <w:style w:type="character" w:styleId="Mention">
    <w:name w:val="Mention"/>
    <w:basedOn w:val="DefaultParagraphFont"/>
    <w:uiPriority w:val="99"/>
    <w:unhideWhenUsed/>
    <w:rsid w:val="00E617E2"/>
    <w:rPr>
      <w:color w:val="2B579A"/>
      <w:shd w:val="clear" w:color="auto" w:fill="E1DFDD"/>
    </w:rPr>
  </w:style>
  <w:style w:type="paragraph" w:customStyle="1" w:styleId="paragraph">
    <w:name w:val="paragraph"/>
    <w:basedOn w:val="Normal"/>
    <w:rsid w:val="00E617E2"/>
    <w:pPr>
      <w:spacing w:before="100" w:beforeAutospacing="1" w:after="100" w:afterAutospacing="1"/>
    </w:pPr>
    <w:rPr>
      <w:rFonts w:ascii="Calibri" w:eastAsiaTheme="minorHAnsi" w:hAnsi="Calibri" w:cs="Calibri"/>
      <w:sz w:val="22"/>
      <w:szCs w:val="22"/>
      <w14:ligatures w14:val="standardContextual"/>
    </w:rPr>
  </w:style>
  <w:style w:type="character" w:customStyle="1" w:styleId="normaltextrun">
    <w:name w:val="normaltextrun"/>
    <w:basedOn w:val="DefaultParagraphFont"/>
    <w:rsid w:val="00E617E2"/>
  </w:style>
  <w:style w:type="character" w:customStyle="1" w:styleId="eop">
    <w:name w:val="eop"/>
    <w:basedOn w:val="DefaultParagraphFont"/>
    <w:rsid w:val="00E617E2"/>
  </w:style>
  <w:style w:type="paragraph" w:customStyle="1" w:styleId="footnotedescription">
    <w:name w:val="footnote description"/>
    <w:next w:val="Normal"/>
    <w:link w:val="footnotedescriptionChar"/>
    <w:hidden/>
    <w:rsid w:val="00E617E2"/>
    <w:pPr>
      <w:spacing w:after="13" w:line="237" w:lineRule="auto"/>
      <w:ind w:right="11"/>
    </w:pPr>
    <w:rPr>
      <w:color w:val="000000"/>
      <w:szCs w:val="22"/>
      <w14:ligatures w14:val="standardContextual"/>
    </w:rPr>
  </w:style>
  <w:style w:type="character" w:customStyle="1" w:styleId="footnotedescriptionChar">
    <w:name w:val="footnote description Char"/>
    <w:link w:val="footnotedescription"/>
    <w:rsid w:val="00E617E2"/>
    <w:rPr>
      <w:color w:val="000000"/>
      <w:szCs w:val="22"/>
      <w14:ligatures w14:val="standardContextual"/>
    </w:rPr>
  </w:style>
  <w:style w:type="character" w:customStyle="1" w:styleId="footnotemark">
    <w:name w:val="footnote mark"/>
    <w:hidden/>
    <w:rsid w:val="00E617E2"/>
    <w:rPr>
      <w:rFonts w:ascii="Times New Roman" w:eastAsia="Times New Roman" w:hAnsi="Times New Roman" w:cs="Times New Roman"/>
      <w:color w:val="000000"/>
      <w:sz w:val="14"/>
      <w:vertAlign w:val="superscript"/>
    </w:rPr>
  </w:style>
  <w:style w:type="character" w:customStyle="1" w:styleId="apple-converted-space">
    <w:name w:val="apple-converted-space"/>
    <w:basedOn w:val="DefaultParagraphFont"/>
    <w:rsid w:val="00E617E2"/>
  </w:style>
  <w:style w:type="character" w:styleId="FootnoteReference">
    <w:name w:val="footnote reference"/>
    <w:basedOn w:val="DefaultParagraphFont"/>
    <w:uiPriority w:val="99"/>
    <w:unhideWhenUsed/>
    <w:rsid w:val="00E617E2"/>
    <w:rPr>
      <w:vertAlign w:val="superscript"/>
    </w:rPr>
  </w:style>
  <w:style w:type="paragraph" w:styleId="ListParagraph">
    <w:name w:val="List Paragraph"/>
    <w:basedOn w:val="Normal"/>
    <w:uiPriority w:val="34"/>
    <w:qFormat/>
    <w:rsid w:val="00E617E2"/>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UnresolvedMention">
    <w:name w:val="Unresolved Mention"/>
    <w:basedOn w:val="DefaultParagraphFont"/>
    <w:uiPriority w:val="99"/>
    <w:semiHidden/>
    <w:unhideWhenUsed/>
    <w:rsid w:val="00E617E2"/>
    <w:rPr>
      <w:color w:val="605E5C"/>
      <w:shd w:val="clear" w:color="auto" w:fill="E1DFDD"/>
    </w:rPr>
  </w:style>
  <w:style w:type="paragraph" w:styleId="EndnoteText">
    <w:name w:val="endnote text"/>
    <w:basedOn w:val="Normal"/>
    <w:link w:val="EndnoteTextChar"/>
    <w:rsid w:val="00E617E2"/>
    <w:rPr>
      <w:sz w:val="20"/>
    </w:rPr>
  </w:style>
  <w:style w:type="character" w:customStyle="1" w:styleId="EndnoteTextChar">
    <w:name w:val="Endnote Text Char"/>
    <w:basedOn w:val="DefaultParagraphFont"/>
    <w:link w:val="EndnoteText"/>
    <w:rsid w:val="00E617E2"/>
  </w:style>
  <w:style w:type="character" w:styleId="EndnoteReference">
    <w:name w:val="endnote reference"/>
    <w:basedOn w:val="DefaultParagraphFont"/>
    <w:rsid w:val="00E617E2"/>
    <w:rPr>
      <w:vertAlign w:val="superscript"/>
    </w:rPr>
  </w:style>
  <w:style w:type="character" w:customStyle="1" w:styleId="cf01">
    <w:name w:val="cf01"/>
    <w:basedOn w:val="DefaultParagraphFont"/>
    <w:rsid w:val="00E617E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hyperlink" Target="http://www.microsoft.com/en-us/corporate-responsibility/public-policy-engagement" TargetMode="External"/><Relationship Id="rId16" Type="http://schemas.openxmlformats.org/officeDocument/2006/relationships/image" Target="media/image8.jpg"/><Relationship Id="rId11" Type="http://schemas.openxmlformats.org/officeDocument/2006/relationships/image" Target="media/image4.png"/><Relationship Id="rId32" Type="http://schemas.openxmlformats.org/officeDocument/2006/relationships/image" Target="media/image24.jp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g"/><Relationship Id="rId74" Type="http://schemas.openxmlformats.org/officeDocument/2006/relationships/hyperlink" Target="https://disinfocode.eu/reports-archive/" TargetMode="External"/><Relationship Id="rId79"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3.jpg"/><Relationship Id="rId82" Type="http://schemas.openxmlformats.org/officeDocument/2006/relationships/fontTable" Target="fontTable.xml"/><Relationship Id="rId19" Type="http://schemas.openxmlformats.org/officeDocument/2006/relationships/image" Target="media/image11.jp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hyperlink" Target="https://about.linkedin.com/transparency" TargetMode="External"/><Relationship Id="rId69" Type="http://schemas.openxmlformats.org/officeDocument/2006/relationships/header" Target="header1.xml"/><Relationship Id="rId77" Type="http://schemas.openxmlformats.org/officeDocument/2006/relationships/image" Target="media/image56.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hyperlink" Target="https://www.microsoft.com/en-us/ai/responsible-ai"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png"/><Relationship Id="rId67" Type="http://schemas.openxmlformats.org/officeDocument/2006/relationships/hyperlink" Target="https://trustedcloudprinciples.com/"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footer" Target="footer2.xml"/><Relationship Id="rId75" Type="http://schemas.openxmlformats.org/officeDocument/2006/relationships/hyperlink" Target="https://news.microsoft.com/wp-content/uploads/prod/sites/66/2022/05/Microsoft-LinkedIn-Australian-Disinformation-Misinformation-Code-2023-report-FINAL-.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jp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jpg"/><Relationship Id="rId31" Type="http://schemas.openxmlformats.org/officeDocument/2006/relationships/image" Target="media/image23.png"/><Relationship Id="rId44" Type="http://schemas.openxmlformats.org/officeDocument/2006/relationships/image" Target="media/image36.jp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s://www.microsoft.com/en-us/corporate-responsibility/human-rights" TargetMode="External"/><Relationship Id="rId73" Type="http://schemas.openxmlformats.org/officeDocument/2006/relationships/hyperlink" Target="https://aka.ms/mddr" TargetMode="External"/><Relationship Id="rId78" Type="http://schemas.openxmlformats.org/officeDocument/2006/relationships/image" Target="media/image57.jpeg"/><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0.jpg"/><Relationship Id="rId39" Type="http://schemas.openxmlformats.org/officeDocument/2006/relationships/image" Target="media/image31.png"/><Relationship Id="rId34" Type="http://schemas.openxmlformats.org/officeDocument/2006/relationships/image" Target="media/image26.jp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s://blogs.microsoft.com/on-the-issues/2023/05/01/responsible-ai-standards-principles-governance-progress/" TargetMode="External"/><Relationship Id="rId7" Type="http://schemas.openxmlformats.org/officeDocument/2006/relationships/endnotes" Target="endnotes.xml"/><Relationship Id="rId71" Type="http://schemas.openxmlformats.org/officeDocument/2006/relationships/hyperlink" Target="https://www.microsoft.com/en-us/corporate-responsibility/protect-fundamental-rights"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png"/><Relationship Id="rId66" Type="http://schemas.openxmlformats.org/officeDocument/2006/relationships/hyperlink" Target="https://query.prod.cms.rt.microsoft.com/cms/api/am/binary/RWWHvp"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law.cornell.edu/cfr/text/29/2509.75-8" TargetMode="External"/><Relationship Id="rId299" Type="http://schemas.openxmlformats.org/officeDocument/2006/relationships/hyperlink" Target="https://www.ft.com/content/c6972372-a02a-4b42-abba-3d98296e08f3" TargetMode="External"/><Relationship Id="rId21" Type="http://schemas.openxmlformats.org/officeDocument/2006/relationships/hyperlink" Target="https://www.foxnews.com/media/vivek-ramaswamy-pans-linkedins-claim-account-locked-error-calling-censorship" TargetMode="External"/><Relationship Id="rId63" Type="http://schemas.openxmlformats.org/officeDocument/2006/relationships/hyperlink" Target="https://www.newsweek.com/what-hololens-microsoft-workers-call-bosses-drop-us-military-contract-we-did-1341560" TargetMode="External"/><Relationship Id="rId159" Type="http://schemas.openxmlformats.org/officeDocument/2006/relationships/hyperlink" Target="https://www.shrm.org/resourcesandtools/hr-topics/talent-acquisition/pages/climate-change-branding-can-lift-recruitment-and-retention.aspx" TargetMode="External"/><Relationship Id="rId324" Type="http://schemas.openxmlformats.org/officeDocument/2006/relationships/hyperlink" Target="https://www.washingtonpost.com/politics/2023/03/17/ai-chatbots-wont-enjoy-techs-legal-shield-section-230-authors-say/" TargetMode="External"/><Relationship Id="rId366"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170" Type="http://schemas.openxmlformats.org/officeDocument/2006/relationships/hyperlink" Target="https://www.cnbc.com/2019/04/09/workers-want-elusive-socially-responsible-investments-in-401k-survey.html" TargetMode="External"/><Relationship Id="rId226" Type="http://schemas.openxmlformats.org/officeDocument/2006/relationships/hyperlink" Target="https://www.cnbc.com/2023/03/20/openai-ceo-sam-altman-says-hes-a-little-bit-scared-of-ai.html" TargetMode="External"/><Relationship Id="rId268" Type="http://schemas.openxmlformats.org/officeDocument/2006/relationships/hyperlink" Target="https://www.theguardian.com/commentisfree/2023/apr/06/ai-chatgpt-guardian-technology-risks-fake-article" TargetMode="External"/><Relationship Id="rId32" Type="http://schemas.openxmlformats.org/officeDocument/2006/relationships/hyperlink" Target="https://www.forbes.com/sites/jasonevangelho/2019/02/23/microsoft-employees-upset-about-hololens-as-u-s-military-weapon/?sh=160424bb4822" TargetMode="External"/><Relationship Id="rId74" Type="http://schemas.openxmlformats.org/officeDocument/2006/relationships/hyperlink" Target="https://www.xrtoday.com/mixed-reality/microsoft-to-cut-back-us-army-ivas-staff-amid-layoffs/" TargetMode="External"/><Relationship Id="rId128" Type="http://schemas.openxmlformats.org/officeDocument/2006/relationships/hyperlink" Target="https://www.federalregister.gov/documents/2022/12/01/2022-25783/prudence-and-loyalty-in-selecting-plan-investments-and-exercising-shareholder-rights" TargetMode="External"/><Relationship Id="rId335" Type="http://schemas.openxmlformats.org/officeDocument/2006/relationships/hyperlink" Target="https://www.wsj.com/articles/chatgpt-libeled-me-can-i-sue-defamation-law-artificial-intelligence-cartoonist-court-lawyers-technology-14086034" TargetMode="External"/><Relationship Id="rId377"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5" Type="http://schemas.openxmlformats.org/officeDocument/2006/relationships/hyperlink" Target="https://www.foxnews.com/media/vivek-ramaswamy-pans-linkedins-claim-account-locked-error-calling-censorship" TargetMode="External"/><Relationship Id="rId181" Type="http://schemas.openxmlformats.org/officeDocument/2006/relationships/hyperlink" Target="https://www.cnbc.com/2019/04/09/workers-want-elusive-socially-responsible-investments-in-401k-survey.html" TargetMode="External"/><Relationship Id="rId237" Type="http://schemas.openxmlformats.org/officeDocument/2006/relationships/hyperlink" Target="https://www.cnbc.com/2023/03/20/openai-ceo-sam-altman-says-hes-a-little-bit-scared-of-ai.html" TargetMode="External"/><Relationship Id="rId279" Type="http://schemas.openxmlformats.org/officeDocument/2006/relationships/hyperlink" Target="https://www.bing.com/new" TargetMode="External"/><Relationship Id="rId43" Type="http://schemas.openxmlformats.org/officeDocument/2006/relationships/hyperlink" Target="https://www.newsweek.com/what-hololens-microsoft-workers-call-bosses-drop-us-military-contract-we-did-1341560" TargetMode="External"/><Relationship Id="rId139" Type="http://schemas.openxmlformats.org/officeDocument/2006/relationships/hyperlink" Target="https://www.federalregister.gov/documents/2022/12/01/2022-25783/prudence-and-loyalty-in-selecting-plan-investments-and-exercising-shareholder-rights" TargetMode="External"/><Relationship Id="rId290" Type="http://schemas.openxmlformats.org/officeDocument/2006/relationships/hyperlink" Target="https://www.eurasiagroup.net/issues/top-risks-2023" TargetMode="External"/><Relationship Id="rId304" Type="http://schemas.openxmlformats.org/officeDocument/2006/relationships/hyperlink" Target="https://www.ft.com/content/c6972372-a02a-4b42-abba-3d98296e08f3" TargetMode="External"/><Relationship Id="rId346" Type="http://schemas.openxmlformats.org/officeDocument/2006/relationships/hyperlink" Target="https://www.wsj.com/articles/chatgpt-libeled-me-can-i-sue-defamation-law-artificial-intelligence-cartoonist-court-lawyers-technology-14086034" TargetMode="External"/><Relationship Id="rId388" Type="http://schemas.openxmlformats.org/officeDocument/2006/relationships/hyperlink" Target="https://www.theverge.com/2023/3/13/23638823/microsoft-ethics-society-team-responsible-ai-layoffs" TargetMode="External"/><Relationship Id="rId85" Type="http://schemas.openxmlformats.org/officeDocument/2006/relationships/hyperlink" Target="https://www.xrtoday.com/mixed-reality/microsoft-to-cut-back-us-army-ivas-staff-amid-layoffs/" TargetMode="External"/><Relationship Id="rId150" Type="http://schemas.openxmlformats.org/officeDocument/2006/relationships/hyperlink" Target="https://www.shrm.org/resourcesandtools/hr-topics/talent-acquisition/pages/climate-change-branding-can-lift-recruitment-and-retention.aspx" TargetMode="External"/><Relationship Id="rId192" Type="http://schemas.openxmlformats.org/officeDocument/2006/relationships/hyperlink" Target="https://www.internationaltaxreview.com/article/b1vf7yc65qpzcd/this-week-in-tax-eu-on-track-for-public-cbcr-by-2023" TargetMode="External"/><Relationship Id="rId206" Type="http://schemas.openxmlformats.org/officeDocument/2006/relationships/hyperlink" Target="https://www.theguardian.com/world/2021/jun/03/microsoft-irish-subsidiary-paid-zero-corporate-tax-on-220bn-profit-last-year" TargetMode="External"/><Relationship Id="rId248" Type="http://schemas.openxmlformats.org/officeDocument/2006/relationships/hyperlink" Target="https://www.cnbc.com/2023/04/08/microsofts-complex-bet-on-openai-brings-potential-and-uncertainty.html" TargetMode="External"/><Relationship Id="rId12" Type="http://schemas.openxmlformats.org/officeDocument/2006/relationships/hyperlink" Target="https://www.foxnews.com/media/vivek-ramaswamy-pans-linkedins-claim-account-locked-error-calling-censorship" TargetMode="External"/><Relationship Id="rId108" Type="http://schemas.openxmlformats.org/officeDocument/2006/relationships/hyperlink" Target="https://query.prod.cms.rt.microsoft.com/cms/api/am/binary/RW14sJN" TargetMode="External"/><Relationship Id="rId315" Type="http://schemas.openxmlformats.org/officeDocument/2006/relationships/hyperlink" Target="https://www.washingtonpost.com/politics/2023/03/17/ai-chatbots-wont-enjoy-techs-legal-shield-section-230-authors-say/" TargetMode="External"/><Relationship Id="rId357"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54" Type="http://schemas.openxmlformats.org/officeDocument/2006/relationships/hyperlink" Target="https://www.newsweek.com/what-hololens-microsoft-workers-call-bosses-drop-us-military-contract-we-did-1341560" TargetMode="External"/><Relationship Id="rId96" Type="http://schemas.openxmlformats.org/officeDocument/2006/relationships/hyperlink" Target="https://www.swissre.com/media/press-release/nr-20210422-economics-of-climate-change-risks.html" TargetMode="External"/><Relationship Id="rId161" Type="http://schemas.openxmlformats.org/officeDocument/2006/relationships/hyperlink" Target="https://www.shrm.org/resourcesandtools/hr-topics/talent-acquisition/pages/climate-change-branding-can-lift-recruitment-and-retention.aspx" TargetMode="External"/><Relationship Id="rId217" Type="http://schemas.openxmlformats.org/officeDocument/2006/relationships/hyperlink" Target="https://www.cnbc.com/2023/03/20/openai-ceo-sam-altman-says-hes-a-little-bit-scared-of-ai.html" TargetMode="External"/><Relationship Id="rId259" Type="http://schemas.openxmlformats.org/officeDocument/2006/relationships/hyperlink" Target="https://www.washingtonpost.com/technology/2023/04/05/chatgpt-lies/" TargetMode="External"/><Relationship Id="rId23" Type="http://schemas.openxmlformats.org/officeDocument/2006/relationships/hyperlink" Target="https://www.foxnews.com/media/vivek-ramaswamy-pans-linkedins-claim-account-locked-error-calling-censorship" TargetMode="External"/><Relationship Id="rId119" Type="http://schemas.openxmlformats.org/officeDocument/2006/relationships/hyperlink" Target="https://www.law.cornell.edu/cfr/text/29/2509.75-8" TargetMode="External"/><Relationship Id="rId270" Type="http://schemas.openxmlformats.org/officeDocument/2006/relationships/hyperlink" Target="https://www.theguardian.com/commentisfree/2023/apr/06/ai-chatgpt-guardian-technology-risks-fake-article" TargetMode="External"/><Relationship Id="rId326" Type="http://schemas.openxmlformats.org/officeDocument/2006/relationships/hyperlink" Target="https://www.washingtonpost.com/politics/2023/03/17/ai-chatbots-wont-enjoy-techs-legal-shield-section-230-authors-say/" TargetMode="External"/><Relationship Id="rId65" Type="http://schemas.openxmlformats.org/officeDocument/2006/relationships/hyperlink" Target="https://www.newsweek.com/what-hololens-microsoft-workers-call-bosses-drop-us-military-contract-we-did-1341560" TargetMode="External"/><Relationship Id="rId130" Type="http://schemas.openxmlformats.org/officeDocument/2006/relationships/hyperlink" Target="https://www.federalregister.gov/documents/2022/12/01/2022-25783/prudence-and-loyalty-in-selecting-plan-investments-and-exercising-shareholder-rights" TargetMode="External"/><Relationship Id="rId368"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172" Type="http://schemas.openxmlformats.org/officeDocument/2006/relationships/hyperlink" Target="https://www.cnbc.com/2019/04/09/workers-want-elusive-socially-responsible-investments-in-401k-survey.html" TargetMode="External"/><Relationship Id="rId228" Type="http://schemas.openxmlformats.org/officeDocument/2006/relationships/hyperlink" Target="https://www.cnbc.com/2023/03/20/openai-ceo-sam-altman-says-hes-a-little-bit-scared-of-ai.html" TargetMode="External"/><Relationship Id="rId281" Type="http://schemas.openxmlformats.org/officeDocument/2006/relationships/hyperlink" Target="https://www.nytimes.com/2023/02/08/technology/ai-chatbots-disinformation.html" TargetMode="External"/><Relationship Id="rId337" Type="http://schemas.openxmlformats.org/officeDocument/2006/relationships/hyperlink" Target="https://www.wsj.com/articles/chatgpt-libeled-me-can-i-sue-defamation-law-artificial-intelligence-cartoonist-court-lawyers-technology-14086034" TargetMode="External"/><Relationship Id="rId34" Type="http://schemas.openxmlformats.org/officeDocument/2006/relationships/hyperlink" Target="https://www.forbes.com/sites/jasonevangelho/2019/02/23/microsoft-employees-upset-about-hololens-as-u-s-military-weapon/?sh=160424bb4822" TargetMode="External"/><Relationship Id="rId76" Type="http://schemas.openxmlformats.org/officeDocument/2006/relationships/hyperlink" Target="https://www.xrtoday.com/mixed-reality/microsoft-to-cut-back-us-army-ivas-staff-amid-layoffs/" TargetMode="External"/><Relationship Id="rId141" Type="http://schemas.openxmlformats.org/officeDocument/2006/relationships/hyperlink" Target="https://www.federalregister.gov/documents/2022/12/01/2022-25783/prudence-and-loyalty-in-selecting-plan-investments-and-exercising-shareholder-rights" TargetMode="External"/><Relationship Id="rId379" Type="http://schemas.openxmlformats.org/officeDocument/2006/relationships/hyperlink" Target="https://www.theverge.com/2023/3/13/23638823/microsoft-ethics-society-team-responsible-ai-layoffs" TargetMode="External"/><Relationship Id="rId7" Type="http://schemas.openxmlformats.org/officeDocument/2006/relationships/hyperlink" Target="https://www.foxnews.com/media/vivek-ramaswamy-pans-linkedins-claim-account-locked-error-calling-censorship" TargetMode="External"/><Relationship Id="rId183" Type="http://schemas.openxmlformats.org/officeDocument/2006/relationships/hyperlink" Target="https://www.washingtonpost.com/us-policy/2020/11/19/global-tax-evasion-data/" TargetMode="External"/><Relationship Id="rId239" Type="http://schemas.openxmlformats.org/officeDocument/2006/relationships/hyperlink" Target="https://www.cnbc.com/2023/03/20/openai-ceo-sam-altman-says-hes-a-little-bit-scared-of-ai.html" TargetMode="External"/><Relationship Id="rId390" Type="http://schemas.openxmlformats.org/officeDocument/2006/relationships/hyperlink" Target="https://www.theverge.com/2023/3/13/23638823/microsoft-ethics-society-team-responsible-ai-layoffs" TargetMode="External"/><Relationship Id="rId250" Type="http://schemas.openxmlformats.org/officeDocument/2006/relationships/hyperlink" Target="https://www.cnbc.com/2023/04/08/microsofts-complex-bet-on-openai-brings-potential-and-uncertainty.html" TargetMode="External"/><Relationship Id="rId292" Type="http://schemas.openxmlformats.org/officeDocument/2006/relationships/hyperlink" Target="https://www.eurasiagroup.net/issues/top-risks-2023" TargetMode="External"/><Relationship Id="rId306" Type="http://schemas.openxmlformats.org/officeDocument/2006/relationships/hyperlink" Target="https://www.washingtonpost.com/politics/2023/03/17/ai-chatbots-wont-enjoy-techs-legal-shield-section-230-authors-say/" TargetMode="External"/><Relationship Id="rId45" Type="http://schemas.openxmlformats.org/officeDocument/2006/relationships/hyperlink" Target="https://www.newsweek.com/what-hololens-microsoft-workers-call-bosses-drop-us-military-contract-we-did-1341560" TargetMode="External"/><Relationship Id="rId87" Type="http://schemas.openxmlformats.org/officeDocument/2006/relationships/hyperlink" Target="https://www.xrtoday.com/mixed-reality/microsoft-to-cut-back-us-army-ivas-staff-amid-layoffs/" TargetMode="External"/><Relationship Id="rId110" Type="http://schemas.openxmlformats.org/officeDocument/2006/relationships/hyperlink" Target="https://investyourvalues.org/retirement-plans/microsoft" TargetMode="External"/><Relationship Id="rId348" Type="http://schemas.openxmlformats.org/officeDocument/2006/relationships/hyperlink" Target="https://www.wsj.com/articles/chatgpt-libeled-me-can-i-sue-defamation-law-artificial-intelligence-cartoonist-court-lawyers-technology-14086034" TargetMode="External"/><Relationship Id="rId152" Type="http://schemas.openxmlformats.org/officeDocument/2006/relationships/hyperlink" Target="https://www.shrm.org/resourcesandtools/hr-topics/talent-acquisition/pages/climate-change-branding-can-lift-recruitment-and-retention.aspx" TargetMode="External"/><Relationship Id="rId194" Type="http://schemas.openxmlformats.org/officeDocument/2006/relationships/hyperlink" Target="https://www2.deloitte.com/content/dam/Deloitte/au/Documents/tax/deloitte-au-tax-insights-7-australia-introduces-public-tax-reporting-australian-foreign-headquartered-multinationals-120423.pdf" TargetMode="External"/><Relationship Id="rId208" Type="http://schemas.openxmlformats.org/officeDocument/2006/relationships/hyperlink" Target="https://assets.kpmg/content/dam/kpmg/xx/pdf/2020/11/the-time-has-come.pdf" TargetMode="External"/><Relationship Id="rId261" Type="http://schemas.openxmlformats.org/officeDocument/2006/relationships/hyperlink" Target="https://www.washingtonpost.com/technology/2023/04/05/chatgpt-lies/" TargetMode="External"/><Relationship Id="rId14" Type="http://schemas.openxmlformats.org/officeDocument/2006/relationships/hyperlink" Target="https://www.foxnews.com/media/vivek-ramaswamy-pans-linkedins-claim-account-locked-error-calling-censorship" TargetMode="External"/><Relationship Id="rId56" Type="http://schemas.openxmlformats.org/officeDocument/2006/relationships/hyperlink" Target="https://www.newsweek.com/what-hololens-microsoft-workers-call-bosses-drop-us-military-contract-we-did-1341560" TargetMode="External"/><Relationship Id="rId317" Type="http://schemas.openxmlformats.org/officeDocument/2006/relationships/hyperlink" Target="https://www.washingtonpost.com/politics/2023/03/17/ai-chatbots-wont-enjoy-techs-legal-shield-section-230-authors-say/" TargetMode="External"/><Relationship Id="rId359"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98" Type="http://schemas.openxmlformats.org/officeDocument/2006/relationships/hyperlink" Target="https://www.swissre.com/media/press-release/nr-20210422-economics-of-climate-change-risks.html" TargetMode="External"/><Relationship Id="rId121" Type="http://schemas.openxmlformats.org/officeDocument/2006/relationships/hyperlink" Target="https://www.federalregister.gov/documents/2022/12/01/2022-25783/prudence-and-loyalty-in-selecting-plan-investments-and-exercising-shareholder-rights" TargetMode="External"/><Relationship Id="rId163" Type="http://schemas.openxmlformats.org/officeDocument/2006/relationships/hyperlink" Target="https://www.shrm.org/resourcesandtools/hr-topics/talent-acquisition/pages/climate-change-branding-can-lift-recruitment-and-retention.aspx" TargetMode="External"/><Relationship Id="rId219" Type="http://schemas.openxmlformats.org/officeDocument/2006/relationships/hyperlink" Target="https://www.cnbc.com/2023/03/20/openai-ceo-sam-altman-says-hes-a-little-bit-scared-of-ai.html" TargetMode="External"/><Relationship Id="rId370"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230" Type="http://schemas.openxmlformats.org/officeDocument/2006/relationships/hyperlink" Target="https://www.cnbc.com/2023/03/20/openai-ceo-sam-altman-says-hes-a-little-bit-scared-of-ai.html" TargetMode="External"/><Relationship Id="rId25" Type="http://schemas.openxmlformats.org/officeDocument/2006/relationships/hyperlink" Target="https://www.forbes.com/sites/jasonevangelho/2019/02/23/microsoft-employees-upset-about-hololens-as-u-s-military-weapon/?sh=160424bb4822" TargetMode="External"/><Relationship Id="rId67" Type="http://schemas.openxmlformats.org/officeDocument/2006/relationships/hyperlink" Target="https://www.newsweek.com/what-hololens-microsoft-workers-call-bosses-drop-us-military-contract-we-did-1341560" TargetMode="External"/><Relationship Id="rId272" Type="http://schemas.openxmlformats.org/officeDocument/2006/relationships/hyperlink" Target="https://www.theguardian.com/commentisfree/2023/apr/06/ai-chatgpt-guardian-technology-risks-fake-article" TargetMode="External"/><Relationship Id="rId328" Type="http://schemas.openxmlformats.org/officeDocument/2006/relationships/hyperlink" Target="https://www.wsj.com/articles/chatgpt-libeled-me-can-i-sue-defamation-law-artificial-intelligence-cartoonist-court-lawyers-technology-14086034" TargetMode="External"/><Relationship Id="rId132" Type="http://schemas.openxmlformats.org/officeDocument/2006/relationships/hyperlink" Target="https://www.federalregister.gov/documents/2022/12/01/2022-25783/prudence-and-loyalty-in-selecting-plan-investments-and-exercising-shareholder-rights" TargetMode="External"/><Relationship Id="rId174" Type="http://schemas.openxmlformats.org/officeDocument/2006/relationships/hyperlink" Target="https://www.cnbc.com/2019/04/09/workers-want-elusive-socially-responsible-investments-in-401k-survey.html" TargetMode="External"/><Relationship Id="rId381" Type="http://schemas.openxmlformats.org/officeDocument/2006/relationships/hyperlink" Target="https://www.theverge.com/2023/3/13/23638823/microsoft-ethics-society-team-responsible-ai-layoffs" TargetMode="External"/><Relationship Id="rId241" Type="http://schemas.openxmlformats.org/officeDocument/2006/relationships/hyperlink" Target="https://www.cnbc.com/2023/04/08/microsofts-complex-bet-on-openai-brings-potential-and-uncertainty.html" TargetMode="External"/><Relationship Id="rId36" Type="http://schemas.openxmlformats.org/officeDocument/2006/relationships/hyperlink" Target="https://www.forbes.com/sites/jasonevangelho/2019/02/23/microsoft-employees-upset-about-hololens-as-u-s-military-weapon/?sh=160424bb4822" TargetMode="External"/><Relationship Id="rId283" Type="http://schemas.openxmlformats.org/officeDocument/2006/relationships/hyperlink" Target="https://www.nytimes.com/2023/02/08/technology/ai-chatbots-disinformation.html" TargetMode="External"/><Relationship Id="rId339" Type="http://schemas.openxmlformats.org/officeDocument/2006/relationships/hyperlink" Target="https://www.wsj.com/articles/chatgpt-libeled-me-can-i-sue-defamation-law-artificial-intelligence-cartoonist-court-lawyers-technology-14086034" TargetMode="External"/><Relationship Id="rId78" Type="http://schemas.openxmlformats.org/officeDocument/2006/relationships/hyperlink" Target="https://www.xrtoday.com/mixed-reality/microsoft-to-cut-back-us-army-ivas-staff-amid-layoffs/" TargetMode="External"/><Relationship Id="rId101" Type="http://schemas.openxmlformats.org/officeDocument/2006/relationships/hyperlink" Target="https://www.swissre.com/media/press-release/nr-20210422-economics-of-climate-change-risks.html" TargetMode="External"/><Relationship Id="rId143" Type="http://schemas.openxmlformats.org/officeDocument/2006/relationships/hyperlink" Target="https://www.federalregister.gov/documents/2022/12/01/2022-25783/prudence-and-loyalty-in-selecting-plan-investments-and-exercising-shareholder-rights" TargetMode="External"/><Relationship Id="rId185" Type="http://schemas.openxmlformats.org/officeDocument/2006/relationships/hyperlink" Target="https://www.globalreporting.org/about-gri/news-center/backing-for-gri-s-tax-standard/" TargetMode="External"/><Relationship Id="rId350" Type="http://schemas.openxmlformats.org/officeDocument/2006/relationships/hyperlink" Target="https://www.wsj.com/articles/chatgpt-libeled-me-can-i-sue-defamation-law-artificial-intelligence-cartoonist-court-lawyers-technology-14086034" TargetMode="External"/><Relationship Id="rId9" Type="http://schemas.openxmlformats.org/officeDocument/2006/relationships/hyperlink" Target="https://www.foxnews.com/media/vivek-ramaswamy-pans-linkedins-claim-account-locked-error-calling-censorship" TargetMode="External"/><Relationship Id="rId210" Type="http://schemas.openxmlformats.org/officeDocument/2006/relationships/hyperlink" Target="https://www.globalreporting.org/about-gri/news-center/backing-for-gri-s-tax-standard/" TargetMode="External"/><Relationship Id="rId392" Type="http://schemas.openxmlformats.org/officeDocument/2006/relationships/hyperlink" Target="https://www.theverge.com/2023/3/13/23638823/microsoft-ethics-society-team-responsible-ai-layoffs" TargetMode="External"/><Relationship Id="rId252" Type="http://schemas.openxmlformats.org/officeDocument/2006/relationships/hyperlink" Target="https://www.cnbc.com/2023/04/08/microsofts-complex-bet-on-openai-brings-potential-and-uncertainty.html" TargetMode="External"/><Relationship Id="rId294" Type="http://schemas.openxmlformats.org/officeDocument/2006/relationships/hyperlink" Target="https://ballotpedia.org/United_States_Congress_elections,_2024" TargetMode="External"/><Relationship Id="rId308" Type="http://schemas.openxmlformats.org/officeDocument/2006/relationships/hyperlink" Target="https://www.washingtonpost.com/politics/2023/03/17/ai-chatbots-wont-enjoy-techs-legal-shield-section-230-authors-say/" TargetMode="External"/><Relationship Id="rId47" Type="http://schemas.openxmlformats.org/officeDocument/2006/relationships/hyperlink" Target="https://www.newsweek.com/what-hololens-microsoft-workers-call-bosses-drop-us-military-contract-we-did-1341560" TargetMode="External"/><Relationship Id="rId89" Type="http://schemas.openxmlformats.org/officeDocument/2006/relationships/hyperlink" Target="https://www.xrtoday.com/mixed-reality/microsoft-to-cut-back-us-army-ivas-staff-amid-layoffs/" TargetMode="External"/><Relationship Id="rId112" Type="http://schemas.openxmlformats.org/officeDocument/2006/relationships/hyperlink" Target="https://investyourvalues.org/retirement-plans/microsoft" TargetMode="External"/><Relationship Id="rId154" Type="http://schemas.openxmlformats.org/officeDocument/2006/relationships/hyperlink" Target="https://www.shrm.org/resourcesandtools/hr-topics/talent-acquisition/pages/climate-change-branding-can-lift-recruitment-and-retention.aspx" TargetMode="External"/><Relationship Id="rId361"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196" Type="http://schemas.openxmlformats.org/officeDocument/2006/relationships/hyperlink" Target="https://www2.deloitte.com/content/dam/Deloitte/au/Documents/tax/deloitte-au-tax-insights-7-australia-introduces-public-tax-reporting-australian-foreign-headquartered-multinationals-120423.pdf" TargetMode="External"/><Relationship Id="rId200" Type="http://schemas.openxmlformats.org/officeDocument/2006/relationships/hyperlink" Target="https://www.theguardian.com/australia-news/2015/apr/08/google-apple-and-microsoft-defend-tax-set-up-that-shifts-revenue-offshore" TargetMode="External"/><Relationship Id="rId382" Type="http://schemas.openxmlformats.org/officeDocument/2006/relationships/hyperlink" Target="https://www.theverge.com/2023/3/13/23638823/microsoft-ethics-society-team-responsible-ai-layoffs" TargetMode="External"/><Relationship Id="rId16" Type="http://schemas.openxmlformats.org/officeDocument/2006/relationships/hyperlink" Target="https://www.foxnews.com/media/vivek-ramaswamy-pans-linkedins-claim-account-locked-error-calling-censorship" TargetMode="External"/><Relationship Id="rId221" Type="http://schemas.openxmlformats.org/officeDocument/2006/relationships/hyperlink" Target="https://www.cnbc.com/2023/03/20/openai-ceo-sam-altman-says-hes-a-little-bit-scared-of-ai.html" TargetMode="External"/><Relationship Id="rId242" Type="http://schemas.openxmlformats.org/officeDocument/2006/relationships/hyperlink" Target="https://www.cnbc.com/2023/04/08/microsofts-complex-bet-on-openai-brings-potential-and-uncertainty.html" TargetMode="External"/><Relationship Id="rId263" Type="http://schemas.openxmlformats.org/officeDocument/2006/relationships/hyperlink" Target="https://www.theguardian.com/commentisfree/2023/apr/06/ai-chatgpt-guardian-technology-risks-fake-article" TargetMode="External"/><Relationship Id="rId284" Type="http://schemas.openxmlformats.org/officeDocument/2006/relationships/hyperlink" Target="https://www.nytimes.com/2023/02/08/technology/ai-chatbots-disinformation.html" TargetMode="External"/><Relationship Id="rId319" Type="http://schemas.openxmlformats.org/officeDocument/2006/relationships/hyperlink" Target="https://www.washingtonpost.com/politics/2023/03/17/ai-chatbots-wont-enjoy-techs-legal-shield-section-230-authors-say/" TargetMode="External"/><Relationship Id="rId37" Type="http://schemas.openxmlformats.org/officeDocument/2006/relationships/hyperlink" Target="https://www.forbes.com/sites/jasonevangelho/2019/02/23/microsoft-employees-upset-about-hololens-as-u-s-military-weapon/?sh=160424bb4822" TargetMode="External"/><Relationship Id="rId58" Type="http://schemas.openxmlformats.org/officeDocument/2006/relationships/hyperlink" Target="https://www.newsweek.com/what-hololens-microsoft-workers-call-bosses-drop-us-military-contract-we-did-1341560" TargetMode="External"/><Relationship Id="rId79" Type="http://schemas.openxmlformats.org/officeDocument/2006/relationships/hyperlink" Target="https://www.xrtoday.com/mixed-reality/microsoft-to-cut-back-us-army-ivas-staff-amid-layoffs/" TargetMode="External"/><Relationship Id="rId102" Type="http://schemas.openxmlformats.org/officeDocument/2006/relationships/hyperlink" Target="https://www.swissre.com/media/press-release/nr-20210422-economics-of-climate-change-risks.html" TargetMode="External"/><Relationship Id="rId123" Type="http://schemas.openxmlformats.org/officeDocument/2006/relationships/hyperlink" Target="https://www.federalregister.gov/documents/2022/12/01/2022-25783/prudence-and-loyalty-in-selecting-plan-investments-and-exercising-shareholder-rights" TargetMode="External"/><Relationship Id="rId144" Type="http://schemas.openxmlformats.org/officeDocument/2006/relationships/hyperlink" Target="https://www.shrm.org/resourcesandtools/hr-topics/talent-acquisition/pages/climate-change-branding-can-lift-recruitment-and-retention.aspx" TargetMode="External"/><Relationship Id="rId330" Type="http://schemas.openxmlformats.org/officeDocument/2006/relationships/hyperlink" Target="https://www.wsj.com/articles/chatgpt-libeled-me-can-i-sue-defamation-law-artificial-intelligence-cartoonist-court-lawyers-technology-14086034" TargetMode="External"/><Relationship Id="rId90" Type="http://schemas.openxmlformats.org/officeDocument/2006/relationships/hyperlink" Target="https://www.xrtoday.com/mixed-reality/microsoft-to-cut-back-us-army-ivas-staff-amid-layoffs/" TargetMode="External"/><Relationship Id="rId165" Type="http://schemas.openxmlformats.org/officeDocument/2006/relationships/hyperlink" Target="https://www.cnbc.com/2019/04/09/workers-want-elusive-socially-responsible-investments-in-401k-survey.html" TargetMode="External"/><Relationship Id="rId186" Type="http://schemas.openxmlformats.org/officeDocument/2006/relationships/hyperlink" Target="https://www.globalreporting.org/about-gri/news-center/backing-for-gri-s-tax-standard/" TargetMode="External"/><Relationship Id="rId351" Type="http://schemas.openxmlformats.org/officeDocument/2006/relationships/hyperlink" Target="https://www.wsj.com/articles/chatgpt-libeled-me-can-i-sue-defamation-law-artificial-intelligence-cartoonist-court-lawyers-technology-14086034" TargetMode="External"/><Relationship Id="rId372"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211" Type="http://schemas.openxmlformats.org/officeDocument/2006/relationships/hyperlink" Target="https://www.globalreporting.org/about-gri/news-center/backing-for-gri-s-tax-standard/" TargetMode="External"/><Relationship Id="rId232" Type="http://schemas.openxmlformats.org/officeDocument/2006/relationships/hyperlink" Target="https://www.cnbc.com/2023/03/20/openai-ceo-sam-altman-says-hes-a-little-bit-scared-of-ai.html" TargetMode="External"/><Relationship Id="rId253" Type="http://schemas.openxmlformats.org/officeDocument/2006/relationships/hyperlink" Target="https://www.cnbc.com/2023/04/08/microsofts-complex-bet-on-openai-brings-potential-and-uncertainty.html" TargetMode="External"/><Relationship Id="rId274" Type="http://schemas.openxmlformats.org/officeDocument/2006/relationships/hyperlink" Target="https://www.theguardian.com/commentisfree/2023/apr/06/ai-chatgpt-guardian-technology-risks-fake-article" TargetMode="External"/><Relationship Id="rId295" Type="http://schemas.openxmlformats.org/officeDocument/2006/relationships/hyperlink" Target="https://www.ft.com/content/c6972372-a02a-4b42-abba-3d98296e08f3" TargetMode="External"/><Relationship Id="rId309" Type="http://schemas.openxmlformats.org/officeDocument/2006/relationships/hyperlink" Target="https://www.washingtonpost.com/politics/2023/03/17/ai-chatbots-wont-enjoy-techs-legal-shield-section-230-authors-say/" TargetMode="External"/><Relationship Id="rId27" Type="http://schemas.openxmlformats.org/officeDocument/2006/relationships/hyperlink" Target="https://www.forbes.com/sites/jasonevangelho/2019/02/23/microsoft-employees-upset-about-hololens-as-u-s-military-weapon/?sh=160424bb4822" TargetMode="External"/><Relationship Id="rId48" Type="http://schemas.openxmlformats.org/officeDocument/2006/relationships/hyperlink" Target="https://www.newsweek.com/what-hololens-microsoft-workers-call-bosses-drop-us-military-contract-we-did-1341560" TargetMode="External"/><Relationship Id="rId69" Type="http://schemas.openxmlformats.org/officeDocument/2006/relationships/hyperlink" Target="https://www.xrtoday.com/mixed-reality/microsoft-to-cut-back-us-army-ivas-staff-amid-layoffs/" TargetMode="External"/><Relationship Id="rId113" Type="http://schemas.openxmlformats.org/officeDocument/2006/relationships/hyperlink" Target="https://investyourvalues.org/retirement-plans/microsoft" TargetMode="External"/><Relationship Id="rId134" Type="http://schemas.openxmlformats.org/officeDocument/2006/relationships/hyperlink" Target="https://www.federalregister.gov/documents/2022/12/01/2022-25783/prudence-and-loyalty-in-selecting-plan-investments-and-exercising-shareholder-rights" TargetMode="External"/><Relationship Id="rId320" Type="http://schemas.openxmlformats.org/officeDocument/2006/relationships/hyperlink" Target="https://www.washingtonpost.com/politics/2023/03/17/ai-chatbots-wont-enjoy-techs-legal-shield-section-230-authors-say/" TargetMode="External"/><Relationship Id="rId80" Type="http://schemas.openxmlformats.org/officeDocument/2006/relationships/hyperlink" Target="https://www.xrtoday.com/mixed-reality/microsoft-to-cut-back-us-army-ivas-staff-amid-layoffs/" TargetMode="External"/><Relationship Id="rId155" Type="http://schemas.openxmlformats.org/officeDocument/2006/relationships/hyperlink" Target="https://www.shrm.org/resourcesandtools/hr-topics/talent-acquisition/pages/climate-change-branding-can-lift-recruitment-and-retention.aspx" TargetMode="External"/><Relationship Id="rId176" Type="http://schemas.openxmlformats.org/officeDocument/2006/relationships/hyperlink" Target="https://www.cnbc.com/2019/04/09/workers-want-elusive-socially-responsible-investments-in-401k-survey.html" TargetMode="External"/><Relationship Id="rId197" Type="http://schemas.openxmlformats.org/officeDocument/2006/relationships/hyperlink" Target="https://www2.deloitte.com/content/dam/Deloitte/au/Documents/tax/deloitte-au-tax-insights-7-australia-introduces-public-tax-reporting-australian-foreign-headquartered-multinationals-120423.pdf" TargetMode="External"/><Relationship Id="rId341" Type="http://schemas.openxmlformats.org/officeDocument/2006/relationships/hyperlink" Target="https://www.wsj.com/articles/chatgpt-libeled-me-can-i-sue-defamation-law-artificial-intelligence-cartoonist-court-lawyers-technology-14086034" TargetMode="External"/><Relationship Id="rId362"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383" Type="http://schemas.openxmlformats.org/officeDocument/2006/relationships/hyperlink" Target="https://www.theverge.com/2023/3/13/23638823/microsoft-ethics-society-team-responsible-ai-layoffs" TargetMode="External"/><Relationship Id="rId201" Type="http://schemas.openxmlformats.org/officeDocument/2006/relationships/hyperlink" Target="https://www.theguardian.com/australia-news/2015/apr/08/google-apple-and-microsoft-defend-tax-set-up-that-shifts-revenue-offshore" TargetMode="External"/><Relationship Id="rId222" Type="http://schemas.openxmlformats.org/officeDocument/2006/relationships/hyperlink" Target="https://www.cnbc.com/2023/03/20/openai-ceo-sam-altman-says-hes-a-little-bit-scared-of-ai.html" TargetMode="External"/><Relationship Id="rId243" Type="http://schemas.openxmlformats.org/officeDocument/2006/relationships/hyperlink" Target="https://www.cnbc.com/2023/04/08/microsofts-complex-bet-on-openai-brings-potential-and-uncertainty.html" TargetMode="External"/><Relationship Id="rId264" Type="http://schemas.openxmlformats.org/officeDocument/2006/relationships/hyperlink" Target="https://www.theguardian.com/commentisfree/2023/apr/06/ai-chatgpt-guardian-technology-risks-fake-article" TargetMode="External"/><Relationship Id="rId285" Type="http://schemas.openxmlformats.org/officeDocument/2006/relationships/hyperlink" Target="https://www.nytimes.com/2023/02/08/technology/ai-chatbots-disinformation.html" TargetMode="External"/><Relationship Id="rId17" Type="http://schemas.openxmlformats.org/officeDocument/2006/relationships/hyperlink" Target="https://www.foxnews.com/media/vivek-ramaswamy-pans-linkedins-claim-account-locked-error-calling-censorship" TargetMode="External"/><Relationship Id="rId38" Type="http://schemas.openxmlformats.org/officeDocument/2006/relationships/hyperlink" Target="https://www.forbes.com/sites/jasonevangelho/2019/02/23/microsoft-employees-upset-about-hololens-as-u-s-military-weapon/?sh=160424bb4822" TargetMode="External"/><Relationship Id="rId59" Type="http://schemas.openxmlformats.org/officeDocument/2006/relationships/hyperlink" Target="https://www.newsweek.com/what-hololens-microsoft-workers-call-bosses-drop-us-military-contract-we-did-1341560" TargetMode="External"/><Relationship Id="rId103" Type="http://schemas.openxmlformats.org/officeDocument/2006/relationships/hyperlink" Target="https://www.swissre.com/media/press-release/nr-20210422-economics-of-climate-change-risks.html" TargetMode="External"/><Relationship Id="rId124" Type="http://schemas.openxmlformats.org/officeDocument/2006/relationships/hyperlink" Target="https://www.federalregister.gov/documents/2022/12/01/2022-25783/prudence-and-loyalty-in-selecting-plan-investments-and-exercising-shareholder-rights" TargetMode="External"/><Relationship Id="rId310" Type="http://schemas.openxmlformats.org/officeDocument/2006/relationships/hyperlink" Target="https://www.washingtonpost.com/politics/2023/03/17/ai-chatbots-wont-enjoy-techs-legal-shield-section-230-authors-say/" TargetMode="External"/><Relationship Id="rId70" Type="http://schemas.openxmlformats.org/officeDocument/2006/relationships/hyperlink" Target="https://www.xrtoday.com/mixed-reality/microsoft-to-cut-back-us-army-ivas-staff-amid-layoffs/" TargetMode="External"/><Relationship Id="rId91" Type="http://schemas.openxmlformats.org/officeDocument/2006/relationships/hyperlink" Target="https://www.swissre.com/media/press-release/nr-20210422-economics-of-climate-change-risks.html" TargetMode="External"/><Relationship Id="rId145" Type="http://schemas.openxmlformats.org/officeDocument/2006/relationships/hyperlink" Target="https://www.shrm.org/resourcesandtools/hr-topics/talent-acquisition/pages/climate-change-branding-can-lift-recruitment-and-retention.aspx" TargetMode="External"/><Relationship Id="rId166" Type="http://schemas.openxmlformats.org/officeDocument/2006/relationships/hyperlink" Target="https://www.cnbc.com/2019/04/09/workers-want-elusive-socially-responsible-investments-in-401k-survey.html" TargetMode="External"/><Relationship Id="rId187" Type="http://schemas.openxmlformats.org/officeDocument/2006/relationships/hyperlink" Target="https://www.globalreporting.org/about-gri/news-center/backing-for-gri-s-tax-standard/" TargetMode="External"/><Relationship Id="rId331" Type="http://schemas.openxmlformats.org/officeDocument/2006/relationships/hyperlink" Target="https://www.wsj.com/articles/chatgpt-libeled-me-can-i-sue-defamation-law-artificial-intelligence-cartoonist-court-lawyers-technology-14086034" TargetMode="External"/><Relationship Id="rId352" Type="http://schemas.openxmlformats.org/officeDocument/2006/relationships/hyperlink" Target="https://www.wsj.com/articles/chatgpt-libeled-me-can-i-sue-defamation-law-artificial-intelligence-cartoonist-court-lawyers-technology-14086034" TargetMode="External"/><Relationship Id="rId373"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1" Type="http://schemas.openxmlformats.org/officeDocument/2006/relationships/hyperlink" Target="https://news.microsoft.com/life/pride" TargetMode="External"/><Relationship Id="rId212" Type="http://schemas.openxmlformats.org/officeDocument/2006/relationships/hyperlink" Target="https://www.globalreporting.org/about-gri/news-center/backing-for-gri-s-tax-standard/" TargetMode="External"/><Relationship Id="rId233" Type="http://schemas.openxmlformats.org/officeDocument/2006/relationships/hyperlink" Target="https://www.cnbc.com/2023/03/20/openai-ceo-sam-altman-says-hes-a-little-bit-scared-of-ai.html" TargetMode="External"/><Relationship Id="rId254" Type="http://schemas.openxmlformats.org/officeDocument/2006/relationships/hyperlink" Target="https://www.cnbc.com/2023/04/08/microsofts-complex-bet-on-openai-brings-potential-and-uncertainty.html" TargetMode="External"/><Relationship Id="rId28" Type="http://schemas.openxmlformats.org/officeDocument/2006/relationships/hyperlink" Target="https://www.forbes.com/sites/jasonevangelho/2019/02/23/microsoft-employees-upset-about-hololens-as-u-s-military-weapon/?sh=160424bb4822" TargetMode="External"/><Relationship Id="rId49" Type="http://schemas.openxmlformats.org/officeDocument/2006/relationships/hyperlink" Target="https://www.newsweek.com/what-hololens-microsoft-workers-call-bosses-drop-us-military-contract-we-did-1341560" TargetMode="External"/><Relationship Id="rId114" Type="http://schemas.openxmlformats.org/officeDocument/2006/relationships/hyperlink" Target="https://investyourvalues.org/retirement-plans/microsoft" TargetMode="External"/><Relationship Id="rId275" Type="http://schemas.openxmlformats.org/officeDocument/2006/relationships/hyperlink" Target="https://www.theguardian.com/commentisfree/2023/apr/06/ai-chatgpt-guardian-technology-risks-fake-article" TargetMode="External"/><Relationship Id="rId296" Type="http://schemas.openxmlformats.org/officeDocument/2006/relationships/hyperlink" Target="https://www.ft.com/content/c6972372-a02a-4b42-abba-3d98296e08f3" TargetMode="External"/><Relationship Id="rId300" Type="http://schemas.openxmlformats.org/officeDocument/2006/relationships/hyperlink" Target="https://www.ft.com/content/c6972372-a02a-4b42-abba-3d98296e08f3" TargetMode="External"/><Relationship Id="rId60" Type="http://schemas.openxmlformats.org/officeDocument/2006/relationships/hyperlink" Target="https://www.newsweek.com/what-hololens-microsoft-workers-call-bosses-drop-us-military-contract-we-did-1341560" TargetMode="External"/><Relationship Id="rId81" Type="http://schemas.openxmlformats.org/officeDocument/2006/relationships/hyperlink" Target="https://www.xrtoday.com/mixed-reality/microsoft-to-cut-back-us-army-ivas-staff-amid-layoffs/" TargetMode="External"/><Relationship Id="rId135" Type="http://schemas.openxmlformats.org/officeDocument/2006/relationships/hyperlink" Target="https://www.federalregister.gov/documents/2022/12/01/2022-25783/prudence-and-loyalty-in-selecting-plan-investments-and-exercising-shareholder-rights" TargetMode="External"/><Relationship Id="rId156" Type="http://schemas.openxmlformats.org/officeDocument/2006/relationships/hyperlink" Target="https://www.shrm.org/resourcesandtools/hr-topics/talent-acquisition/pages/climate-change-branding-can-lift-recruitment-and-retention.aspx" TargetMode="External"/><Relationship Id="rId177" Type="http://schemas.openxmlformats.org/officeDocument/2006/relationships/hyperlink" Target="https://www.cnbc.com/2019/04/09/workers-want-elusive-socially-responsible-investments-in-401k-survey.html" TargetMode="External"/><Relationship Id="rId198" Type="http://schemas.openxmlformats.org/officeDocument/2006/relationships/hyperlink" Target="https://www.propublica.org/article/the-irs-decided-to-get-tough-against-microsoft-microsoft-got-tougher" TargetMode="External"/><Relationship Id="rId321" Type="http://schemas.openxmlformats.org/officeDocument/2006/relationships/hyperlink" Target="https://www.washingtonpost.com/politics/2023/03/17/ai-chatbots-wont-enjoy-techs-legal-shield-section-230-authors-say/" TargetMode="External"/><Relationship Id="rId342" Type="http://schemas.openxmlformats.org/officeDocument/2006/relationships/hyperlink" Target="https://www.wsj.com/articles/chatgpt-libeled-me-can-i-sue-defamation-law-artificial-intelligence-cartoonist-court-lawyers-technology-14086034" TargetMode="External"/><Relationship Id="rId363"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384" Type="http://schemas.openxmlformats.org/officeDocument/2006/relationships/hyperlink" Target="https://www.theverge.com/2023/3/13/23638823/microsoft-ethics-society-team-responsible-ai-layoffs" TargetMode="External"/><Relationship Id="rId202" Type="http://schemas.openxmlformats.org/officeDocument/2006/relationships/hyperlink" Target="https://www.theguardian.com/australia-news/2015/apr/08/google-apple-and-microsoft-defend-tax-set-up-that-shifts-revenue-offshore" TargetMode="External"/><Relationship Id="rId223" Type="http://schemas.openxmlformats.org/officeDocument/2006/relationships/hyperlink" Target="https://www.cnbc.com/2023/03/20/openai-ceo-sam-altman-says-hes-a-little-bit-scared-of-ai.html" TargetMode="External"/><Relationship Id="rId244" Type="http://schemas.openxmlformats.org/officeDocument/2006/relationships/hyperlink" Target="https://www.cnbc.com/2023/04/08/microsofts-complex-bet-on-openai-brings-potential-and-uncertainty.html" TargetMode="External"/><Relationship Id="rId18" Type="http://schemas.openxmlformats.org/officeDocument/2006/relationships/hyperlink" Target="https://www.foxnews.com/media/vivek-ramaswamy-pans-linkedins-claim-account-locked-error-calling-censorship" TargetMode="External"/><Relationship Id="rId39" Type="http://schemas.openxmlformats.org/officeDocument/2006/relationships/hyperlink" Target="https://www.forbes.com/sites/jasonevangelho/2019/02/23/microsoft-employees-upset-about-hololens-as-u-s-military-weapon/?sh=160424bb4822" TargetMode="External"/><Relationship Id="rId265" Type="http://schemas.openxmlformats.org/officeDocument/2006/relationships/hyperlink" Target="https://www.theguardian.com/commentisfree/2023/apr/06/ai-chatgpt-guardian-technology-risks-fake-article" TargetMode="External"/><Relationship Id="rId286" Type="http://schemas.openxmlformats.org/officeDocument/2006/relationships/hyperlink" Target="https://www.nytimes.com/2023/02/08/technology/ai-chatbots-disinformation.html" TargetMode="External"/><Relationship Id="rId50" Type="http://schemas.openxmlformats.org/officeDocument/2006/relationships/hyperlink" Target="https://www.newsweek.com/what-hololens-microsoft-workers-call-bosses-drop-us-military-contract-we-did-1341560" TargetMode="External"/><Relationship Id="rId104" Type="http://schemas.openxmlformats.org/officeDocument/2006/relationships/hyperlink" Target="https://www.swissre.com/media/press-release/nr-20210422-economics-of-climate-change-risks.html" TargetMode="External"/><Relationship Id="rId125" Type="http://schemas.openxmlformats.org/officeDocument/2006/relationships/hyperlink" Target="https://www.federalregister.gov/documents/2022/12/01/2022-25783/prudence-and-loyalty-in-selecting-plan-investments-and-exercising-shareholder-rights" TargetMode="External"/><Relationship Id="rId146" Type="http://schemas.openxmlformats.org/officeDocument/2006/relationships/hyperlink" Target="https://www.shrm.org/resourcesandtools/hr-topics/talent-acquisition/pages/climate-change-branding-can-lift-recruitment-and-retention.aspx" TargetMode="External"/><Relationship Id="rId167" Type="http://schemas.openxmlformats.org/officeDocument/2006/relationships/hyperlink" Target="https://www.cnbc.com/2019/04/09/workers-want-elusive-socially-responsible-investments-in-401k-survey.html" TargetMode="External"/><Relationship Id="rId188" Type="http://schemas.openxmlformats.org/officeDocument/2006/relationships/hyperlink" Target="https://thefactcoalition.org/international-tax-reform-in-build-back-better-act-a-promising-start/" TargetMode="External"/><Relationship Id="rId311" Type="http://schemas.openxmlformats.org/officeDocument/2006/relationships/hyperlink" Target="https://www.washingtonpost.com/politics/2023/03/17/ai-chatbots-wont-enjoy-techs-legal-shield-section-230-authors-say/" TargetMode="External"/><Relationship Id="rId332" Type="http://schemas.openxmlformats.org/officeDocument/2006/relationships/hyperlink" Target="https://www.wsj.com/articles/chatgpt-libeled-me-can-i-sue-defamation-law-artificial-intelligence-cartoonist-court-lawyers-technology-14086034" TargetMode="External"/><Relationship Id="rId353" Type="http://schemas.openxmlformats.org/officeDocument/2006/relationships/hyperlink" Target="https://www.wsj.com/articles/chatgpt-libeled-me-can-i-sue-defamation-law-artificial-intelligence-cartoonist-court-lawyers-technology-14086034" TargetMode="External"/><Relationship Id="rId374"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71" Type="http://schemas.openxmlformats.org/officeDocument/2006/relationships/hyperlink" Target="https://www.xrtoday.com/mixed-reality/microsoft-to-cut-back-us-army-ivas-staff-amid-layoffs/" TargetMode="External"/><Relationship Id="rId92" Type="http://schemas.openxmlformats.org/officeDocument/2006/relationships/hyperlink" Target="https://www.swissre.com/media/press-release/nr-20210422-economics-of-climate-change-risks.html" TargetMode="External"/><Relationship Id="rId213" Type="http://schemas.openxmlformats.org/officeDocument/2006/relationships/hyperlink" Target="https://www.results.philips.com/publications/ar20/downloads/pdf/en/PhilipsCountryActivityAndTaxReport2020.pdf" TargetMode="External"/><Relationship Id="rId234" Type="http://schemas.openxmlformats.org/officeDocument/2006/relationships/hyperlink" Target="https://www.cnbc.com/2023/03/20/openai-ceo-sam-altman-says-hes-a-little-bit-scared-of-ai.html" TargetMode="External"/><Relationship Id="rId2" Type="http://schemas.openxmlformats.org/officeDocument/2006/relationships/hyperlink" Target="https://judiciary.house.gov/sites/evo-subsites/republicans-judiciary.house.gov/files/legacy_files/wpcontent/uploads/2021/06/JDJ-to-Microsoft-6.21.2020.pdf" TargetMode="External"/><Relationship Id="rId29" Type="http://schemas.openxmlformats.org/officeDocument/2006/relationships/hyperlink" Target="https://www.forbes.com/sites/jasonevangelho/2019/02/23/microsoft-employees-upset-about-hololens-as-u-s-military-weapon/?sh=160424bb4822" TargetMode="External"/><Relationship Id="rId255" Type="http://schemas.openxmlformats.org/officeDocument/2006/relationships/hyperlink" Target="https://www.cnbc.com/2023/04/08/microsofts-complex-bet-on-openai-brings-potential-and-uncertainty.html" TargetMode="External"/><Relationship Id="rId276" Type="http://schemas.openxmlformats.org/officeDocument/2006/relationships/hyperlink" Target="https://www.theguardian.com/commentisfree/2023/apr/06/ai-chatgpt-guardian-technology-risks-fake-article" TargetMode="External"/><Relationship Id="rId297" Type="http://schemas.openxmlformats.org/officeDocument/2006/relationships/hyperlink" Target="https://www.ft.com/content/c6972372-a02a-4b42-abba-3d98296e08f3" TargetMode="External"/><Relationship Id="rId40" Type="http://schemas.openxmlformats.org/officeDocument/2006/relationships/hyperlink" Target="https://www.forbes.com/sites/jasonevangelho/2019/02/23/microsoft-employees-upset-about-hololens-as-u-s-military-weapon/?sh=160424bb4822" TargetMode="External"/><Relationship Id="rId115" Type="http://schemas.openxmlformats.org/officeDocument/2006/relationships/hyperlink" Target="https://investyourvalues.org/retirement-plans/microsoft" TargetMode="External"/><Relationship Id="rId136" Type="http://schemas.openxmlformats.org/officeDocument/2006/relationships/hyperlink" Target="https://www.federalregister.gov/documents/2022/12/01/2022-25783/prudence-and-loyalty-in-selecting-plan-investments-and-exercising-shareholder-rights" TargetMode="External"/><Relationship Id="rId157" Type="http://schemas.openxmlformats.org/officeDocument/2006/relationships/hyperlink" Target="https://www.shrm.org/resourcesandtools/hr-topics/talent-acquisition/pages/climate-change-branding-can-lift-recruitment-and-retention.aspx" TargetMode="External"/><Relationship Id="rId178" Type="http://schemas.openxmlformats.org/officeDocument/2006/relationships/hyperlink" Target="https://www.cnbc.com/2019/04/09/workers-want-elusive-socially-responsible-investments-in-401k-survey.html" TargetMode="External"/><Relationship Id="rId301" Type="http://schemas.openxmlformats.org/officeDocument/2006/relationships/hyperlink" Target="https://www.ft.com/content/c6972372-a02a-4b42-abba-3d98296e08f3" TargetMode="External"/><Relationship Id="rId322" Type="http://schemas.openxmlformats.org/officeDocument/2006/relationships/hyperlink" Target="https://www.washingtonpost.com/politics/2023/03/17/ai-chatbots-wont-enjoy-techs-legal-shield-section-230-authors-say/" TargetMode="External"/><Relationship Id="rId343" Type="http://schemas.openxmlformats.org/officeDocument/2006/relationships/hyperlink" Target="https://www.wsj.com/articles/chatgpt-libeled-me-can-i-sue-defamation-law-artificial-intelligence-cartoonist-court-lawyers-technology-14086034" TargetMode="External"/><Relationship Id="rId364"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61" Type="http://schemas.openxmlformats.org/officeDocument/2006/relationships/hyperlink" Target="https://www.newsweek.com/what-hololens-microsoft-workers-call-bosses-drop-us-military-contract-we-did-1341560" TargetMode="External"/><Relationship Id="rId82" Type="http://schemas.openxmlformats.org/officeDocument/2006/relationships/hyperlink" Target="https://www.xrtoday.com/mixed-reality/microsoft-to-cut-back-us-army-ivas-staff-amid-layoffs/" TargetMode="External"/><Relationship Id="rId199" Type="http://schemas.openxmlformats.org/officeDocument/2006/relationships/hyperlink" Target="https://www.propublica.org/article/the-irs-decided-to-get-tough-against-microsoft-microsoft-got-tougher" TargetMode="External"/><Relationship Id="rId203" Type="http://schemas.openxmlformats.org/officeDocument/2006/relationships/hyperlink" Target="https://www.theguardian.com/world/2021/jun/03/microsoft-irish-subsidiary-paid-zero-corporate-tax-on-220bn-profit-last-year" TargetMode="External"/><Relationship Id="rId385" Type="http://schemas.openxmlformats.org/officeDocument/2006/relationships/hyperlink" Target="https://www.theverge.com/2023/3/13/23638823/microsoft-ethics-society-team-responsible-ai-layoffs" TargetMode="External"/><Relationship Id="rId19" Type="http://schemas.openxmlformats.org/officeDocument/2006/relationships/hyperlink" Target="https://www.foxnews.com/media/vivek-ramaswamy-pans-linkedins-claim-account-locked-error-calling-censorship" TargetMode="External"/><Relationship Id="rId224" Type="http://schemas.openxmlformats.org/officeDocument/2006/relationships/hyperlink" Target="https://www.cnbc.com/2023/03/20/openai-ceo-sam-altman-says-hes-a-little-bit-scared-of-ai.html" TargetMode="External"/><Relationship Id="rId245" Type="http://schemas.openxmlformats.org/officeDocument/2006/relationships/hyperlink" Target="https://www.cnbc.com/2023/04/08/microsofts-complex-bet-on-openai-brings-potential-and-uncertainty.html" TargetMode="External"/><Relationship Id="rId266" Type="http://schemas.openxmlformats.org/officeDocument/2006/relationships/hyperlink" Target="https://www.theguardian.com/commentisfree/2023/apr/06/ai-chatgpt-guardian-technology-risks-fake-article" TargetMode="External"/><Relationship Id="rId287" Type="http://schemas.openxmlformats.org/officeDocument/2006/relationships/hyperlink" Target="https://www.eurasiagroup.net/issues/top-risks-2023" TargetMode="External"/><Relationship Id="rId30" Type="http://schemas.openxmlformats.org/officeDocument/2006/relationships/hyperlink" Target="https://www.forbes.com/sites/jasonevangelho/2019/02/23/microsoft-employees-upset-about-hololens-as-u-s-military-weapon/?sh=160424bb4822" TargetMode="External"/><Relationship Id="rId105" Type="http://schemas.openxmlformats.org/officeDocument/2006/relationships/hyperlink" Target="https://www.swissre.com/media/press-release/nr-20210422-economics-of-climate-change-risks.html" TargetMode="External"/><Relationship Id="rId126" Type="http://schemas.openxmlformats.org/officeDocument/2006/relationships/hyperlink" Target="https://www.federalregister.gov/documents/2022/12/01/2022-25783/prudence-and-loyalty-in-selecting-plan-investments-and-exercising-shareholder-rights" TargetMode="External"/><Relationship Id="rId147" Type="http://schemas.openxmlformats.org/officeDocument/2006/relationships/hyperlink" Target="https://www.shrm.org/resourcesandtools/hr-topics/talent-acquisition/pages/climate-change-branding-can-lift-recruitment-and-retention.aspx" TargetMode="External"/><Relationship Id="rId168" Type="http://schemas.openxmlformats.org/officeDocument/2006/relationships/hyperlink" Target="https://www.cnbc.com/2019/04/09/workers-want-elusive-socially-responsible-investments-in-401k-survey.html" TargetMode="External"/><Relationship Id="rId312" Type="http://schemas.openxmlformats.org/officeDocument/2006/relationships/hyperlink" Target="https://www.washingtonpost.com/politics/2023/03/17/ai-chatbots-wont-enjoy-techs-legal-shield-section-230-authors-say/" TargetMode="External"/><Relationship Id="rId333" Type="http://schemas.openxmlformats.org/officeDocument/2006/relationships/hyperlink" Target="https://www.wsj.com/articles/chatgpt-libeled-me-can-i-sue-defamation-law-artificial-intelligence-cartoonist-court-lawyers-technology-14086034" TargetMode="External"/><Relationship Id="rId354" Type="http://schemas.openxmlformats.org/officeDocument/2006/relationships/hyperlink" Target="https://www.wsj.com/articles/chatgpt-libeled-me-can-i-sue-defamation-law-artificial-intelligence-cartoonist-court-lawyers-technology-14086034" TargetMode="External"/><Relationship Id="rId51" Type="http://schemas.openxmlformats.org/officeDocument/2006/relationships/hyperlink" Target="https://www.newsweek.com/what-hololens-microsoft-workers-call-bosses-drop-us-military-contract-we-did-1341560" TargetMode="External"/><Relationship Id="rId72" Type="http://schemas.openxmlformats.org/officeDocument/2006/relationships/hyperlink" Target="https://www.xrtoday.com/mixed-reality/microsoft-to-cut-back-us-army-ivas-staff-amid-layoffs/" TargetMode="External"/><Relationship Id="rId93" Type="http://schemas.openxmlformats.org/officeDocument/2006/relationships/hyperlink" Target="https://www.swissre.com/media/press-release/nr-20210422-economics-of-climate-change-risks.html" TargetMode="External"/><Relationship Id="rId189" Type="http://schemas.openxmlformats.org/officeDocument/2006/relationships/hyperlink" Target="https://thefactcoalition.org/international-tax-reform-in-build-back-better-act-a-promising-start/" TargetMode="External"/><Relationship Id="rId375"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3" Type="http://schemas.openxmlformats.org/officeDocument/2006/relationships/hyperlink" Target="https://ago.mo.gov/home/news/2023/03/06/missouri-attorney-general-andrew-bailey-asks-court-to-block-biden-from-violating-americans-1st-amendment-rights-citing-1-400-facts" TargetMode="External"/><Relationship Id="rId214" Type="http://schemas.openxmlformats.org/officeDocument/2006/relationships/hyperlink" Target="https://www.results.philips.com/publications/ar20/downloads/pdf/en/PhilipsCountryActivityAndTaxReport2020.pdf" TargetMode="External"/><Relationship Id="rId235" Type="http://schemas.openxmlformats.org/officeDocument/2006/relationships/hyperlink" Target="https://www.cnbc.com/2023/03/20/openai-ceo-sam-altman-says-hes-a-little-bit-scared-of-ai.html" TargetMode="External"/><Relationship Id="rId256" Type="http://schemas.openxmlformats.org/officeDocument/2006/relationships/hyperlink" Target="https://www.cnbc.com/2023/04/08/microsofts-complex-bet-on-openai-brings-potential-and-uncertainty.html" TargetMode="External"/><Relationship Id="rId277" Type="http://schemas.openxmlformats.org/officeDocument/2006/relationships/hyperlink" Target="https://www.bing.com/new" TargetMode="External"/><Relationship Id="rId298" Type="http://schemas.openxmlformats.org/officeDocument/2006/relationships/hyperlink" Target="https://www.ft.com/content/c6972372-a02a-4b42-abba-3d98296e08f3" TargetMode="External"/><Relationship Id="rId116" Type="http://schemas.openxmlformats.org/officeDocument/2006/relationships/hyperlink" Target="https://investyourvalues.org/retirement-plans/microsoft" TargetMode="External"/><Relationship Id="rId137" Type="http://schemas.openxmlformats.org/officeDocument/2006/relationships/hyperlink" Target="https://www.federalregister.gov/documents/2022/12/01/2022-25783/prudence-and-loyalty-in-selecting-plan-investments-and-exercising-shareholder-rights" TargetMode="External"/><Relationship Id="rId158" Type="http://schemas.openxmlformats.org/officeDocument/2006/relationships/hyperlink" Target="https://www.shrm.org/resourcesandtools/hr-topics/talent-acquisition/pages/climate-change-branding-can-lift-recruitment-and-retention.aspx" TargetMode="External"/><Relationship Id="rId302" Type="http://schemas.openxmlformats.org/officeDocument/2006/relationships/hyperlink" Target="https://www.ft.com/content/c6972372-a02a-4b42-abba-3d98296e08f3" TargetMode="External"/><Relationship Id="rId323" Type="http://schemas.openxmlformats.org/officeDocument/2006/relationships/hyperlink" Target="https://www.washingtonpost.com/politics/2023/03/17/ai-chatbots-wont-enjoy-techs-legal-shield-section-230-authors-say/" TargetMode="External"/><Relationship Id="rId344" Type="http://schemas.openxmlformats.org/officeDocument/2006/relationships/hyperlink" Target="https://www.wsj.com/articles/chatgpt-libeled-me-can-i-sue-defamation-law-artificial-intelligence-cartoonist-court-lawyers-technology-14086034" TargetMode="External"/><Relationship Id="rId20" Type="http://schemas.openxmlformats.org/officeDocument/2006/relationships/hyperlink" Target="https://www.foxnews.com/media/vivek-ramaswamy-pans-linkedins-claim-account-locked-error-calling-censorship" TargetMode="External"/><Relationship Id="rId41" Type="http://schemas.openxmlformats.org/officeDocument/2006/relationships/hyperlink" Target="https://www.forbes.com/sites/jasonevangelho/2019/02/23/microsoft-employees-upset-about-hololens-as-u-s-military-weapon/?sh=160424bb4822" TargetMode="External"/><Relationship Id="rId62" Type="http://schemas.openxmlformats.org/officeDocument/2006/relationships/hyperlink" Target="https://www.newsweek.com/what-hololens-microsoft-workers-call-bosses-drop-us-military-contract-we-did-1341560" TargetMode="External"/><Relationship Id="rId83" Type="http://schemas.openxmlformats.org/officeDocument/2006/relationships/hyperlink" Target="https://www.xrtoday.com/mixed-reality/microsoft-to-cut-back-us-army-ivas-staff-amid-layoffs/" TargetMode="External"/><Relationship Id="rId179" Type="http://schemas.openxmlformats.org/officeDocument/2006/relationships/hyperlink" Target="https://www.cnbc.com/2019/04/09/workers-want-elusive-socially-responsible-investments-in-401k-survey.html" TargetMode="External"/><Relationship Id="rId365"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386" Type="http://schemas.openxmlformats.org/officeDocument/2006/relationships/hyperlink" Target="https://www.theverge.com/2023/3/13/23638823/microsoft-ethics-society-team-responsible-ai-layoffs" TargetMode="External"/><Relationship Id="rId190" Type="http://schemas.openxmlformats.org/officeDocument/2006/relationships/hyperlink" Target="https://thefactcoalition.org/international-tax-reform-in-build-back-better-act-a-promising-start/" TargetMode="External"/><Relationship Id="rId204" Type="http://schemas.openxmlformats.org/officeDocument/2006/relationships/hyperlink" Target="https://www.theguardian.com/world/2021/jun/03/microsoft-irish-subsidiary-paid-zero-corporate-tax-on-220bn-profit-last-year" TargetMode="External"/><Relationship Id="rId225" Type="http://schemas.openxmlformats.org/officeDocument/2006/relationships/hyperlink" Target="https://www.cnbc.com/2023/03/20/openai-ceo-sam-altman-says-hes-a-little-bit-scared-of-ai.html" TargetMode="External"/><Relationship Id="rId246" Type="http://schemas.openxmlformats.org/officeDocument/2006/relationships/hyperlink" Target="https://www.cnbc.com/2023/04/08/microsofts-complex-bet-on-openai-brings-potential-and-uncertainty.html" TargetMode="External"/><Relationship Id="rId267" Type="http://schemas.openxmlformats.org/officeDocument/2006/relationships/hyperlink" Target="https://www.theguardian.com/commentisfree/2023/apr/06/ai-chatgpt-guardian-technology-risks-fake-article" TargetMode="External"/><Relationship Id="rId288" Type="http://schemas.openxmlformats.org/officeDocument/2006/relationships/hyperlink" Target="https://www.eurasiagroup.net/issues/top-risks-2023" TargetMode="External"/><Relationship Id="rId106" Type="http://schemas.openxmlformats.org/officeDocument/2006/relationships/hyperlink" Target="https://www.swissre.com/media/press-release/nr-20210422-economics-of-climate-change-risks.html" TargetMode="External"/><Relationship Id="rId127" Type="http://schemas.openxmlformats.org/officeDocument/2006/relationships/hyperlink" Target="https://www.federalregister.gov/documents/2022/12/01/2022-25783/prudence-and-loyalty-in-selecting-plan-investments-and-exercising-shareholder-rights" TargetMode="External"/><Relationship Id="rId313" Type="http://schemas.openxmlformats.org/officeDocument/2006/relationships/hyperlink" Target="https://www.washingtonpost.com/politics/2023/03/17/ai-chatbots-wont-enjoy-techs-legal-shield-section-230-authors-say/" TargetMode="External"/><Relationship Id="rId10" Type="http://schemas.openxmlformats.org/officeDocument/2006/relationships/hyperlink" Target="https://www.foxnews.com/media/vivek-ramaswamy-pans-linkedins-claim-account-locked-error-calling-censorship" TargetMode="External"/><Relationship Id="rId31" Type="http://schemas.openxmlformats.org/officeDocument/2006/relationships/hyperlink" Target="https://www.forbes.com/sites/jasonevangelho/2019/02/23/microsoft-employees-upset-about-hololens-as-u-s-military-weapon/?sh=160424bb4822" TargetMode="External"/><Relationship Id="rId52" Type="http://schemas.openxmlformats.org/officeDocument/2006/relationships/hyperlink" Target="https://www.newsweek.com/what-hololens-microsoft-workers-call-bosses-drop-us-military-contract-we-did-1341560" TargetMode="External"/><Relationship Id="rId73" Type="http://schemas.openxmlformats.org/officeDocument/2006/relationships/hyperlink" Target="https://www.xrtoday.com/mixed-reality/microsoft-to-cut-back-us-army-ivas-staff-amid-layoffs/" TargetMode="External"/><Relationship Id="rId94" Type="http://schemas.openxmlformats.org/officeDocument/2006/relationships/hyperlink" Target="https://www.swissre.com/media/press-release/nr-20210422-economics-of-climate-change-risks.html" TargetMode="External"/><Relationship Id="rId148" Type="http://schemas.openxmlformats.org/officeDocument/2006/relationships/hyperlink" Target="https://www.shrm.org/resourcesandtools/hr-topics/talent-acquisition/pages/climate-change-branding-can-lift-recruitment-and-retention.aspx" TargetMode="External"/><Relationship Id="rId169" Type="http://schemas.openxmlformats.org/officeDocument/2006/relationships/hyperlink" Target="https://www.cnbc.com/2019/04/09/workers-want-elusive-socially-responsible-investments-in-401k-survey.html" TargetMode="External"/><Relationship Id="rId334" Type="http://schemas.openxmlformats.org/officeDocument/2006/relationships/hyperlink" Target="https://www.wsj.com/articles/chatgpt-libeled-me-can-i-sue-defamation-law-artificial-intelligence-cartoonist-court-lawyers-technology-14086034" TargetMode="External"/><Relationship Id="rId355" Type="http://schemas.openxmlformats.org/officeDocument/2006/relationships/hyperlink" Target="https://www.wsj.com/articles/chatgpt-libeled-me-can-i-sue-defamation-law-artificial-intelligence-cartoonist-court-lawyers-technology-14086034" TargetMode="External"/><Relationship Id="rId376"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4" Type="http://schemas.openxmlformats.org/officeDocument/2006/relationships/hyperlink" Target="https://www.lifesitenews.com/news/linkedin-reinstates-mrna-inventors-account-after-deleting-it-for-spreading-misinformation/" TargetMode="External"/><Relationship Id="rId180" Type="http://schemas.openxmlformats.org/officeDocument/2006/relationships/hyperlink" Target="https://www.cnbc.com/2019/04/09/workers-want-elusive-socially-responsible-investments-in-401k-survey.html" TargetMode="External"/><Relationship Id="rId215" Type="http://schemas.openxmlformats.org/officeDocument/2006/relationships/hyperlink" Target="https://www.vodafone.com/sites/default/files/2021-10/vodafone-tax-report-19-20.pdf" TargetMode="External"/><Relationship Id="rId236" Type="http://schemas.openxmlformats.org/officeDocument/2006/relationships/hyperlink" Target="https://www.cnbc.com/2023/03/20/openai-ceo-sam-altman-says-hes-a-little-bit-scared-of-ai.html" TargetMode="External"/><Relationship Id="rId257" Type="http://schemas.openxmlformats.org/officeDocument/2006/relationships/hyperlink" Target="https://www.cnbc.com/2023/04/08/microsofts-complex-bet-on-openai-brings-potential-and-uncertainty.html" TargetMode="External"/><Relationship Id="rId278" Type="http://schemas.openxmlformats.org/officeDocument/2006/relationships/hyperlink" Target="https://www.bing.com/new" TargetMode="External"/><Relationship Id="rId303" Type="http://schemas.openxmlformats.org/officeDocument/2006/relationships/hyperlink" Target="https://www.ft.com/content/c6972372-a02a-4b42-abba-3d98296e08f3" TargetMode="External"/><Relationship Id="rId42" Type="http://schemas.openxmlformats.org/officeDocument/2006/relationships/hyperlink" Target="https://www.forbes.com/sites/jasonevangelho/2019/02/23/microsoft-employees-upset-about-hololens-as-u-s-military-weapon/?sh=160424bb4822" TargetMode="External"/><Relationship Id="rId84" Type="http://schemas.openxmlformats.org/officeDocument/2006/relationships/hyperlink" Target="https://www.xrtoday.com/mixed-reality/microsoft-to-cut-back-us-army-ivas-staff-amid-layoffs/" TargetMode="External"/><Relationship Id="rId138" Type="http://schemas.openxmlformats.org/officeDocument/2006/relationships/hyperlink" Target="https://www.federalregister.gov/documents/2022/12/01/2022-25783/prudence-and-loyalty-in-selecting-plan-investments-and-exercising-shareholder-rights" TargetMode="External"/><Relationship Id="rId345" Type="http://schemas.openxmlformats.org/officeDocument/2006/relationships/hyperlink" Target="https://www.wsj.com/articles/chatgpt-libeled-me-can-i-sue-defamation-law-artificial-intelligence-cartoonist-court-lawyers-technology-14086034" TargetMode="External"/><Relationship Id="rId387" Type="http://schemas.openxmlformats.org/officeDocument/2006/relationships/hyperlink" Target="https://www.theverge.com/2023/3/13/23638823/microsoft-ethics-society-team-responsible-ai-layoffs" TargetMode="External"/><Relationship Id="rId191" Type="http://schemas.openxmlformats.org/officeDocument/2006/relationships/hyperlink" Target="https://www.internationaltaxreview.com/article/b1vf7yc65qpzcd/this-week-in-tax-eu-on-track-for-public-cbcr-by-2023" TargetMode="External"/><Relationship Id="rId205" Type="http://schemas.openxmlformats.org/officeDocument/2006/relationships/hyperlink" Target="https://www.theguardian.com/world/2021/jun/03/microsoft-irish-subsidiary-paid-zero-corporate-tax-on-220bn-profit-last-year" TargetMode="External"/><Relationship Id="rId247" Type="http://schemas.openxmlformats.org/officeDocument/2006/relationships/hyperlink" Target="https://www.cnbc.com/2023/04/08/microsofts-complex-bet-on-openai-brings-potential-and-uncertainty.html" TargetMode="External"/><Relationship Id="rId107" Type="http://schemas.openxmlformats.org/officeDocument/2006/relationships/hyperlink" Target="https://query.prod.cms.rt.microsoft.com/cms/api/am/binary/RW14sJN" TargetMode="External"/><Relationship Id="rId289" Type="http://schemas.openxmlformats.org/officeDocument/2006/relationships/hyperlink" Target="https://www.eurasiagroup.net/issues/top-risks-2023" TargetMode="External"/><Relationship Id="rId11" Type="http://schemas.openxmlformats.org/officeDocument/2006/relationships/hyperlink" Target="https://www.foxnews.com/media/vivek-ramaswamy-pans-linkedins-claim-account-locked-error-calling-censorship" TargetMode="External"/><Relationship Id="rId53" Type="http://schemas.openxmlformats.org/officeDocument/2006/relationships/hyperlink" Target="https://www.newsweek.com/what-hololens-microsoft-workers-call-bosses-drop-us-military-contract-we-did-1341560" TargetMode="External"/><Relationship Id="rId149" Type="http://schemas.openxmlformats.org/officeDocument/2006/relationships/hyperlink" Target="https://www.shrm.org/resourcesandtools/hr-topics/talent-acquisition/pages/climate-change-branding-can-lift-recruitment-and-retention.aspx" TargetMode="External"/><Relationship Id="rId314" Type="http://schemas.openxmlformats.org/officeDocument/2006/relationships/hyperlink" Target="https://www.washingtonpost.com/politics/2023/03/17/ai-chatbots-wont-enjoy-techs-legal-shield-section-230-authors-say/" TargetMode="External"/><Relationship Id="rId356" Type="http://schemas.openxmlformats.org/officeDocument/2006/relationships/hyperlink" Target="https://www.wsj.com/articles/chatgpt-libeled-me-can-i-sue-defamation-law-artificial-intelligence-cartoonist-court-lawyers-technology-14086034" TargetMode="External"/><Relationship Id="rId95" Type="http://schemas.openxmlformats.org/officeDocument/2006/relationships/hyperlink" Target="https://www.swissre.com/media/press-release/nr-20210422-economics-of-climate-change-risks.html" TargetMode="External"/><Relationship Id="rId160" Type="http://schemas.openxmlformats.org/officeDocument/2006/relationships/hyperlink" Target="https://www.shrm.org/resourcesandtools/hr-topics/talent-acquisition/pages/climate-change-branding-can-lift-recruitment-and-retention.aspx" TargetMode="External"/><Relationship Id="rId216" Type="http://schemas.openxmlformats.org/officeDocument/2006/relationships/hyperlink" Target="https://www.vodafone.com/sites/default/files/2021-10/vodafone-tax-report-19-20.pdf" TargetMode="External"/><Relationship Id="rId258" Type="http://schemas.openxmlformats.org/officeDocument/2006/relationships/hyperlink" Target="https://www.cnbc.com/2023/04/08/microsofts-complex-bet-on-openai-brings-potential-and-uncertainty.html" TargetMode="External"/><Relationship Id="rId22" Type="http://schemas.openxmlformats.org/officeDocument/2006/relationships/hyperlink" Target="https://www.foxnews.com/media/vivek-ramaswamy-pans-linkedins-claim-account-locked-error-calling-censorship" TargetMode="External"/><Relationship Id="rId64" Type="http://schemas.openxmlformats.org/officeDocument/2006/relationships/hyperlink" Target="https://www.newsweek.com/what-hololens-microsoft-workers-call-bosses-drop-us-military-contract-we-did-1341560" TargetMode="External"/><Relationship Id="rId118" Type="http://schemas.openxmlformats.org/officeDocument/2006/relationships/hyperlink" Target="https://www.law.cornell.edu/cfr/text/29/2509.75-8" TargetMode="External"/><Relationship Id="rId325" Type="http://schemas.openxmlformats.org/officeDocument/2006/relationships/hyperlink" Target="https://www.washingtonpost.com/politics/2023/03/17/ai-chatbots-wont-enjoy-techs-legal-shield-section-230-authors-say/" TargetMode="External"/><Relationship Id="rId367"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171" Type="http://schemas.openxmlformats.org/officeDocument/2006/relationships/hyperlink" Target="https://www.cnbc.com/2019/04/09/workers-want-elusive-socially-responsible-investments-in-401k-survey.html" TargetMode="External"/><Relationship Id="rId227" Type="http://schemas.openxmlformats.org/officeDocument/2006/relationships/hyperlink" Target="https://www.cnbc.com/2023/03/20/openai-ceo-sam-altman-says-hes-a-little-bit-scared-of-ai.html" TargetMode="External"/><Relationship Id="rId269" Type="http://schemas.openxmlformats.org/officeDocument/2006/relationships/hyperlink" Target="https://microsoft.sharepoint.com/teams/celasecurityfiling/Proxy/2023/technology" TargetMode="External"/><Relationship Id="rId33" Type="http://schemas.openxmlformats.org/officeDocument/2006/relationships/hyperlink" Target="https://www.forbes.com/sites/jasonevangelho/2019/02/23/microsoft-employees-upset-about-hololens-as-u-s-military-weapon/?sh=160424bb4822" TargetMode="External"/><Relationship Id="rId129" Type="http://schemas.openxmlformats.org/officeDocument/2006/relationships/hyperlink" Target="https://www.federalregister.gov/documents/2022/12/01/2022-25783/prudence-and-loyalty-in-selecting-plan-investments-and-exercising-shareholder-rights" TargetMode="External"/><Relationship Id="rId280" Type="http://schemas.openxmlformats.org/officeDocument/2006/relationships/hyperlink" Target="https://www.bing.com/new" TargetMode="External"/><Relationship Id="rId336" Type="http://schemas.openxmlformats.org/officeDocument/2006/relationships/hyperlink" Target="https://www.wsj.com/articles/chatgpt-libeled-me-can-i-sue-defamation-law-artificial-intelligence-cartoonist-court-lawyers-technology-14086034" TargetMode="External"/><Relationship Id="rId75" Type="http://schemas.openxmlformats.org/officeDocument/2006/relationships/hyperlink" Target="https://www.xrtoday.com/mixed-reality/microsoft-to-cut-back-us-army-ivas-staff-amid-layoffs/" TargetMode="External"/><Relationship Id="rId140" Type="http://schemas.openxmlformats.org/officeDocument/2006/relationships/hyperlink" Target="https://www.federalregister.gov/documents/2022/12/01/2022-25783/prudence-and-loyalty-in-selecting-plan-investments-and-exercising-shareholder-rights" TargetMode="External"/><Relationship Id="rId182" Type="http://schemas.openxmlformats.org/officeDocument/2006/relationships/hyperlink" Target="https://www.washingtonpost.com/us-policy/2020/11/19/global-tax-evasion-data/" TargetMode="External"/><Relationship Id="rId378"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6" Type="http://schemas.openxmlformats.org/officeDocument/2006/relationships/hyperlink" Target="https://www.foxnews.com/media/vivek-ramaswamy-pans-linkedins-claim-account-locked-error-calling-censorship" TargetMode="External"/><Relationship Id="rId238" Type="http://schemas.openxmlformats.org/officeDocument/2006/relationships/hyperlink" Target="https://www.cnbc.com/2023/03/20/openai-ceo-sam-altman-says-hes-a-little-bit-scared-of-ai.html" TargetMode="External"/><Relationship Id="rId291" Type="http://schemas.openxmlformats.org/officeDocument/2006/relationships/hyperlink" Target="https://www.eurasiagroup.net/issues/top-risks-2023" TargetMode="External"/><Relationship Id="rId305" Type="http://schemas.openxmlformats.org/officeDocument/2006/relationships/hyperlink" Target="https://www.washingtonpost.com/politics/2023/03/17/ai-chatbots-wont-enjoy-techs-legal-shield-section-230-authors-say/" TargetMode="External"/><Relationship Id="rId347" Type="http://schemas.openxmlformats.org/officeDocument/2006/relationships/hyperlink" Target="https://www.wsj.com/articles/chatgpt-libeled-me-can-i-sue-defamation-law-artificial-intelligence-cartoonist-court-lawyers-technology-14086034" TargetMode="External"/><Relationship Id="rId44" Type="http://schemas.openxmlformats.org/officeDocument/2006/relationships/hyperlink" Target="https://www.newsweek.com/what-hololens-microsoft-workers-call-bosses-drop-us-military-contract-we-did-1341560" TargetMode="External"/><Relationship Id="rId86" Type="http://schemas.openxmlformats.org/officeDocument/2006/relationships/hyperlink" Target="https://www.xrtoday.com/mixed-reality/microsoft-to-cut-back-us-army-ivas-staff-amid-layoffs/" TargetMode="External"/><Relationship Id="rId151" Type="http://schemas.openxmlformats.org/officeDocument/2006/relationships/hyperlink" Target="https://www.shrm.org/resourcesandtools/hr-topics/talent-acquisition/pages/climate-change-branding-can-lift-recruitment-and-retention.aspx" TargetMode="External"/><Relationship Id="rId389" Type="http://schemas.openxmlformats.org/officeDocument/2006/relationships/hyperlink" Target="https://www.theverge.com/2023/3/13/23638823/microsoft-ethics-society-team-responsible-ai-layoffs" TargetMode="External"/><Relationship Id="rId193" Type="http://schemas.openxmlformats.org/officeDocument/2006/relationships/hyperlink" Target="https://www.internationaltaxreview.com/article/b1vf7yc65qpzcd/this-week-in-tax-eu-on-track-for-public-cbcr-by-2023" TargetMode="External"/><Relationship Id="rId207" Type="http://schemas.openxmlformats.org/officeDocument/2006/relationships/hyperlink" Target="https://assets.kpmg/content/dam/kpmg/xx/pdf/2020/11/the-time-has-come.pdf" TargetMode="External"/><Relationship Id="rId249" Type="http://schemas.openxmlformats.org/officeDocument/2006/relationships/hyperlink" Target="https://www.cnbc.com/2023/04/08/microsofts-complex-bet-on-openai-brings-potential-and-uncertainty.html" TargetMode="External"/><Relationship Id="rId13" Type="http://schemas.openxmlformats.org/officeDocument/2006/relationships/hyperlink" Target="https://www.foxnews.com/media/vivek-ramaswamy-pans-linkedins-claim-account-locked-error-calling-censorship" TargetMode="External"/><Relationship Id="rId109" Type="http://schemas.openxmlformats.org/officeDocument/2006/relationships/hyperlink" Target="https://investyourvalues.org/retirement-plans/microsoft" TargetMode="External"/><Relationship Id="rId260" Type="http://schemas.openxmlformats.org/officeDocument/2006/relationships/hyperlink" Target="https://www.washingtonpost.com/technology/2023/04/05/chatgpt-lies/" TargetMode="External"/><Relationship Id="rId316" Type="http://schemas.openxmlformats.org/officeDocument/2006/relationships/hyperlink" Target="https://www.washingtonpost.com/politics/2023/03/17/ai-chatbots-wont-enjoy-techs-legal-shield-section-230-authors-say/" TargetMode="External"/><Relationship Id="rId55" Type="http://schemas.openxmlformats.org/officeDocument/2006/relationships/hyperlink" Target="https://www.newsweek.com/what-hololens-microsoft-workers-call-bosses-drop-us-military-contract-we-did-1341560" TargetMode="External"/><Relationship Id="rId97" Type="http://schemas.openxmlformats.org/officeDocument/2006/relationships/hyperlink" Target="https://www.swissre.com/media/press-release/nr-20210422-economics-of-climate-change-risks.html" TargetMode="External"/><Relationship Id="rId120" Type="http://schemas.openxmlformats.org/officeDocument/2006/relationships/hyperlink" Target="https://www.law.cornell.edu/cfr/text/29/2509.75-8" TargetMode="External"/><Relationship Id="rId358"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162" Type="http://schemas.openxmlformats.org/officeDocument/2006/relationships/hyperlink" Target="https://www.shrm.org/resourcesandtools/hr-topics/talent-acquisition/pages/climate-change-branding-can-lift-recruitment-and-retention.aspx" TargetMode="External"/><Relationship Id="rId218" Type="http://schemas.openxmlformats.org/officeDocument/2006/relationships/hyperlink" Target="https://www.cnbc.com/2023/03/20/openai-ceo-sam-altman-says-hes-a-little-bit-scared-of-ai.html" TargetMode="External"/><Relationship Id="rId271" Type="http://schemas.openxmlformats.org/officeDocument/2006/relationships/hyperlink" Target="https://www.theguardian.com/commentisfree/2023/apr/06/ai-chatgpt-guardian-technology-risks-fake-article" TargetMode="External"/><Relationship Id="rId24" Type="http://schemas.openxmlformats.org/officeDocument/2006/relationships/hyperlink" Target="https://www.forbes.com/sites/jasonevangelho/2019/02/23/microsoft-employees-upset-about-hololens-as-u-s-military-weapon/?sh=160424bb4822" TargetMode="External"/><Relationship Id="rId66" Type="http://schemas.openxmlformats.org/officeDocument/2006/relationships/hyperlink" Target="https://www.newsweek.com/what-hololens-microsoft-workers-call-bosses-drop-us-military-contract-we-did-1341560" TargetMode="External"/><Relationship Id="rId131" Type="http://schemas.openxmlformats.org/officeDocument/2006/relationships/hyperlink" Target="https://www.federalregister.gov/documents/2022/12/01/2022-25783/prudence-and-loyalty-in-selecting-plan-investments-and-exercising-shareholder-rights" TargetMode="External"/><Relationship Id="rId327" Type="http://schemas.openxmlformats.org/officeDocument/2006/relationships/hyperlink" Target="https://www.wsj.com/articles/chatgpt-libeled-me-can-i-sue-defamation-law-artificial-intelligence-cartoonist-court-lawyers-technology-14086034" TargetMode="External"/><Relationship Id="rId369"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173" Type="http://schemas.openxmlformats.org/officeDocument/2006/relationships/hyperlink" Target="https://www.cnbc.com/2019/04/09/workers-want-elusive-socially-responsible-investments-in-401k-survey.html" TargetMode="External"/><Relationship Id="rId229" Type="http://schemas.openxmlformats.org/officeDocument/2006/relationships/hyperlink" Target="https://www.cnbc.com/2023/03/20/openai-ceo-sam-altman-says-hes-a-little-bit-scared-of-ai.html" TargetMode="External"/><Relationship Id="rId380" Type="http://schemas.openxmlformats.org/officeDocument/2006/relationships/hyperlink" Target="https://www.theverge.com/2023/3/13/23638823/microsoft-ethics-society-team-responsible-ai-layoffs" TargetMode="External"/><Relationship Id="rId240" Type="http://schemas.openxmlformats.org/officeDocument/2006/relationships/hyperlink" Target="https://www.cnbc.com/2023/03/20/openai-ceo-sam-altman-says-hes-a-little-bit-scared-of-ai.html" TargetMode="External"/><Relationship Id="rId35" Type="http://schemas.openxmlformats.org/officeDocument/2006/relationships/hyperlink" Target="https://www.forbes.com/sites/jasonevangelho/2019/02/23/microsoft-employees-upset-about-hololens-as-u-s-military-weapon/?sh=160424bb4822" TargetMode="External"/><Relationship Id="rId77" Type="http://schemas.openxmlformats.org/officeDocument/2006/relationships/hyperlink" Target="https://www.xrtoday.com/mixed-reality/microsoft-to-cut-back-us-army-ivas-staff-amid-layoffs/" TargetMode="External"/><Relationship Id="rId100" Type="http://schemas.openxmlformats.org/officeDocument/2006/relationships/hyperlink" Target="https://www.swissre.com/media/press-release/nr-20210422-economics-of-climate-change-risks.html" TargetMode="External"/><Relationship Id="rId282" Type="http://schemas.openxmlformats.org/officeDocument/2006/relationships/hyperlink" Target="https://www.nytimes.com/2023/02/08/technology/ai-chatbots-disinformation.html" TargetMode="External"/><Relationship Id="rId338" Type="http://schemas.openxmlformats.org/officeDocument/2006/relationships/hyperlink" Target="https://www.wsj.com/articles/chatgpt-libeled-me-can-i-sue-defamation-law-artificial-intelligence-cartoonist-court-lawyers-technology-14086034" TargetMode="External"/><Relationship Id="rId8" Type="http://schemas.openxmlformats.org/officeDocument/2006/relationships/hyperlink" Target="https://www.foxnews.com/media/vivek-ramaswamy-pans-linkedins-claim-account-locked-error-calling-censorship" TargetMode="External"/><Relationship Id="rId142" Type="http://schemas.openxmlformats.org/officeDocument/2006/relationships/hyperlink" Target="https://www.federalregister.gov/documents/2022/12/01/2022-25783/prudence-and-loyalty-in-selecting-plan-investments-and-exercising-shareholder-rights" TargetMode="External"/><Relationship Id="rId184" Type="http://schemas.openxmlformats.org/officeDocument/2006/relationships/hyperlink" Target="https://www.washingtonpost.com/us-policy/2020/11/19/global-tax-evasion-data/" TargetMode="External"/><Relationship Id="rId391" Type="http://schemas.openxmlformats.org/officeDocument/2006/relationships/hyperlink" Target="https://www.theverge.com/2023/3/13/23638823/microsoft-ethics-society-team-responsible-ai-layoffs" TargetMode="External"/><Relationship Id="rId251" Type="http://schemas.openxmlformats.org/officeDocument/2006/relationships/hyperlink" Target="https://www.cnbc.com/2023/04/08/microsofts-complex-bet-on-openai-brings-potential-and-uncertainty.html" TargetMode="External"/><Relationship Id="rId46" Type="http://schemas.openxmlformats.org/officeDocument/2006/relationships/hyperlink" Target="https://www.newsweek.com/what-hololens-microsoft-workers-call-bosses-drop-us-military-contract-we-did-1341560" TargetMode="External"/><Relationship Id="rId293" Type="http://schemas.openxmlformats.org/officeDocument/2006/relationships/hyperlink" Target="https://ballotpedia.org/United_States_Congress_elections,_2024" TargetMode="External"/><Relationship Id="rId307" Type="http://schemas.openxmlformats.org/officeDocument/2006/relationships/hyperlink" Target="https://www.washingtonpost.com/politics/2023/03/17/ai-chatbots-wont-enjoy-techs-legal-shield-section-230-authors-say/" TargetMode="External"/><Relationship Id="rId349" Type="http://schemas.openxmlformats.org/officeDocument/2006/relationships/hyperlink" Target="https://www.wsj.com/articles/chatgpt-libeled-me-can-i-sue-defamation-law-artificial-intelligence-cartoonist-court-lawyers-technology-14086034" TargetMode="External"/><Relationship Id="rId88" Type="http://schemas.openxmlformats.org/officeDocument/2006/relationships/hyperlink" Target="https://www.xrtoday.com/mixed-reality/microsoft-to-cut-back-us-army-ivas-staff-amid-layoffs/" TargetMode="External"/><Relationship Id="rId111" Type="http://schemas.openxmlformats.org/officeDocument/2006/relationships/hyperlink" Target="https://investyourvalues.org/retirement-plans/microsoft" TargetMode="External"/><Relationship Id="rId153" Type="http://schemas.openxmlformats.org/officeDocument/2006/relationships/hyperlink" Target="https://www.shrm.org/resourcesandtools/hr-topics/talent-acquisition/pages/climate-change-branding-can-lift-recruitment-and-retention.aspx" TargetMode="External"/><Relationship Id="rId195" Type="http://schemas.openxmlformats.org/officeDocument/2006/relationships/hyperlink" Target="https://www2.deloitte.com/content/dam/Deloitte/au/Documents/tax/deloitte-au-tax-insights-7-australia-introduces-public-tax-reporting-australian-foreign-headquartered-multinationals-120423.pdf" TargetMode="External"/><Relationship Id="rId209" Type="http://schemas.openxmlformats.org/officeDocument/2006/relationships/hyperlink" Target="https://assets.kpmg/content/dam/kpmg/xx/pdf/2020/11/the-time-has-come.pdf" TargetMode="External"/><Relationship Id="rId360"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220" Type="http://schemas.openxmlformats.org/officeDocument/2006/relationships/hyperlink" Target="https://www.cnbc.com/2023/03/20/openai-ceo-sam-altman-says-hes-a-little-bit-scared-of-ai.html" TargetMode="External"/><Relationship Id="rId15" Type="http://schemas.openxmlformats.org/officeDocument/2006/relationships/hyperlink" Target="https://www.foxnews.com/media/vivek-ramaswamy-pans-linkedins-claim-account-locked-error-calling-censorship" TargetMode="External"/><Relationship Id="rId57" Type="http://schemas.openxmlformats.org/officeDocument/2006/relationships/hyperlink" Target="https://www.newsweek.com/what-hololens-microsoft-workers-call-bosses-drop-us-military-contract-we-did-1341560" TargetMode="External"/><Relationship Id="rId262" Type="http://schemas.openxmlformats.org/officeDocument/2006/relationships/hyperlink" Target="https://www.washingtonpost.com/technology/2023/04/05/chatgpt-lies/" TargetMode="External"/><Relationship Id="rId318" Type="http://schemas.openxmlformats.org/officeDocument/2006/relationships/hyperlink" Target="https://www.washingtonpost.com/politics/2023/03/17/ai-chatbots-wont-enjoy-techs-legal-shield-section-230-authors-say/" TargetMode="External"/><Relationship Id="rId99" Type="http://schemas.openxmlformats.org/officeDocument/2006/relationships/hyperlink" Target="https://www.swissre.com/media/press-release/nr-20210422-economics-of-climate-change-risks.html" TargetMode="External"/><Relationship Id="rId122" Type="http://schemas.openxmlformats.org/officeDocument/2006/relationships/hyperlink" Target="https://www.federalregister.gov/documents/2022/12/01/2022-25783/prudence-and-loyalty-in-selecting-plan-investments-and-exercising-shareholder-rights" TargetMode="External"/><Relationship Id="rId164" Type="http://schemas.openxmlformats.org/officeDocument/2006/relationships/hyperlink" Target="https://www.cnbc.com/2019/04/09/workers-want-elusive-socially-responsible-investments-in-401k-survey.html" TargetMode="External"/><Relationship Id="rId371" Type="http://schemas.openxmlformats.org/officeDocument/2006/relationships/hyperlink" Target="https://www.technologyreview.com/2023/04/25/1072177/a-cambridge-analytica-style-scandal-for-ai-is-coming/?truid=&amp;utm_source=the_download&amp;utm_medium=email&amp;utm_campaign=the_download.unpaid.engagement&amp;utm_term=&amp;utm_content=05-03-2023&amp;mc_cid=1fb19f5898&amp;mc_eid=5c3e4c2150" TargetMode="External"/><Relationship Id="rId26" Type="http://schemas.openxmlformats.org/officeDocument/2006/relationships/hyperlink" Target="https://www.forbes.com/sites/jasonevangelho/2019/02/23/microsoft-employees-upset-about-hololens-as-u-s-military-weapon/?sh=160424bb4822" TargetMode="External"/><Relationship Id="rId231" Type="http://schemas.openxmlformats.org/officeDocument/2006/relationships/hyperlink" Target="https://www.cnbc.com/2023/03/20/openai-ceo-sam-altman-says-hes-a-little-bit-scared-of-ai.html" TargetMode="External"/><Relationship Id="rId273" Type="http://schemas.openxmlformats.org/officeDocument/2006/relationships/hyperlink" Target="https://www.theguardian.com/commentisfree/2023/apr/06/ai-chatgpt-guardian-technology-risks-fake-article" TargetMode="External"/><Relationship Id="rId329" Type="http://schemas.openxmlformats.org/officeDocument/2006/relationships/hyperlink" Target="https://www.wsj.com/articles/chatgpt-libeled-me-can-i-sue-defamation-law-artificial-intelligence-cartoonist-court-lawyers-technology-14086034" TargetMode="External"/><Relationship Id="rId68" Type="http://schemas.openxmlformats.org/officeDocument/2006/relationships/hyperlink" Target="https://www.newsweek.com/what-hololens-microsoft-workers-call-bosses-drop-us-military-contract-we-did-1341560" TargetMode="External"/><Relationship Id="rId133" Type="http://schemas.openxmlformats.org/officeDocument/2006/relationships/hyperlink" Target="https://www.federalregister.gov/documents/2022/12/01/2022-25783/prudence-and-loyalty-in-selecting-plan-investments-and-exercising-shareholder-rights" TargetMode="External"/><Relationship Id="rId175" Type="http://schemas.openxmlformats.org/officeDocument/2006/relationships/hyperlink" Target="https://www.cnbc.com/2019/04/09/workers-want-elusive-socially-responsible-investments-in-401k-survey.html" TargetMode="External"/><Relationship Id="rId340" Type="http://schemas.openxmlformats.org/officeDocument/2006/relationships/hyperlink" Target="https://www.wsj.com/articles/chatgpt-libeled-me-can-i-sue-defamation-law-artificial-intelligence-cartoonist-court-lawyers-technology-140860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29B04-178C-46BF-A857-A195B61ABD35}">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2066</TotalTime>
  <Pages>91</Pages>
  <Words>46754</Words>
  <Characters>266503</Characters>
  <Application>Microsoft Office Word</Application>
  <DocSecurity>0</DocSecurity>
  <Lines>2220</Lines>
  <Paragraphs>625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dc:creator>
  <cp:keywords/>
  <cp:lastModifiedBy>Drew Dahl (POPULUS GROUP LLC)</cp:lastModifiedBy>
  <cp:revision>125</cp:revision>
  <cp:lastPrinted>1900-01-01T08:00:00Z</cp:lastPrinted>
  <dcterms:created xsi:type="dcterms:W3CDTF">2023-10-16T17:57:00Z</dcterms:created>
  <dcterms:modified xsi:type="dcterms:W3CDTF">2023-10-23T18:13:00Z</dcterms:modified>
</cp:coreProperties>
</file>